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ook w:val="01E0" w:firstRow="1" w:lastRow="1" w:firstColumn="1" w:lastColumn="1" w:noHBand="0" w:noVBand="0"/>
      </w:tblPr>
      <w:tblGrid>
        <w:gridCol w:w="3686"/>
        <w:gridCol w:w="5812"/>
      </w:tblGrid>
      <w:tr w:rsidR="003C72A3" w:rsidRPr="009921B1" w14:paraId="62E5EAFF" w14:textId="77777777" w:rsidTr="0072566C">
        <w:tc>
          <w:tcPr>
            <w:tcW w:w="3686" w:type="dxa"/>
          </w:tcPr>
          <w:p w14:paraId="6685EFED" w14:textId="77777777"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bCs/>
                <w:color w:val="000000"/>
                <w:spacing w:val="-10"/>
                <w:kern w:val="28"/>
                <w:sz w:val="26"/>
              </w:rPr>
            </w:pPr>
            <w:r w:rsidRPr="009921B1">
              <w:rPr>
                <w:rFonts w:ascii="Times New Roman" w:hAnsi="Times New Roman" w:cs="Times New Roman"/>
                <w:color w:val="000000"/>
                <w:spacing w:val="-10"/>
                <w:sz w:val="26"/>
              </w:rPr>
              <w:t>BỘ XÂY DỰNG</w:t>
            </w:r>
          </w:p>
          <w:p w14:paraId="3B5257E6" w14:textId="77777777"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b/>
                <w:bCs/>
                <w:color w:val="000000"/>
                <w:spacing w:val="-10"/>
                <w:kern w:val="28"/>
                <w:sz w:val="26"/>
              </w:rPr>
            </w:pPr>
            <w:r w:rsidRPr="009921B1">
              <w:rPr>
                <w:rFonts w:ascii="Times New Roman" w:hAnsi="Times New Roman" w:cs="Times New Roman"/>
                <w:b/>
                <w:color w:val="000000"/>
                <w:spacing w:val="-10"/>
                <w:sz w:val="26"/>
              </w:rPr>
              <w:t>CỤC ĐƯỜNG SẮT VIỆT NAM</w:t>
            </w:r>
          </w:p>
          <w:p w14:paraId="6102F59C" w14:textId="77777777"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color w:val="000000"/>
                <w:kern w:val="28"/>
              </w:rPr>
            </w:pPr>
            <w:r w:rsidRPr="009921B1">
              <w:rPr>
                <w:rFonts w:ascii="Times New Roman" w:hAnsi="Times New Roman" w:cs="Times New Roman"/>
                <w:noProof/>
                <w:color w:val="000000"/>
                <w:kern w:val="28"/>
              </w:rPr>
              <mc:AlternateContent>
                <mc:Choice Requires="wps">
                  <w:drawing>
                    <wp:anchor distT="0" distB="0" distL="114300" distR="114300" simplePos="0" relativeHeight="251660288" behindDoc="0" locked="0" layoutInCell="1" allowOverlap="1" wp14:anchorId="74EDA541" wp14:editId="5BE9B363">
                      <wp:simplePos x="0" y="0"/>
                      <wp:positionH relativeFrom="column">
                        <wp:posOffset>721995</wp:posOffset>
                      </wp:positionH>
                      <wp:positionV relativeFrom="paragraph">
                        <wp:posOffset>35560</wp:posOffset>
                      </wp:positionV>
                      <wp:extent cx="107251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B38D5E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2.8pt" to="141.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tjs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"/>
                  </w:pict>
                </mc:Fallback>
              </mc:AlternateContent>
            </w:r>
          </w:p>
          <w:p w14:paraId="49954075" w14:textId="77777777" w:rsidR="003C72A3" w:rsidRPr="009921B1" w:rsidRDefault="003C72A3" w:rsidP="0072566C">
            <w:pPr>
              <w:widowControl w:val="0"/>
              <w:tabs>
                <w:tab w:val="center" w:pos="2160"/>
                <w:tab w:val="center" w:pos="6480"/>
                <w:tab w:val="center" w:pos="7200"/>
              </w:tabs>
              <w:spacing w:after="0" w:line="240" w:lineRule="auto"/>
              <w:jc w:val="both"/>
              <w:rPr>
                <w:rFonts w:ascii="Times New Roman" w:hAnsi="Times New Roman" w:cs="Times New Roman"/>
                <w:color w:val="000000"/>
                <w:spacing w:val="-2"/>
                <w:kern w:val="28"/>
                <w:sz w:val="25"/>
                <w:szCs w:val="25"/>
              </w:rPr>
            </w:pPr>
          </w:p>
        </w:tc>
        <w:tc>
          <w:tcPr>
            <w:tcW w:w="5812" w:type="dxa"/>
          </w:tcPr>
          <w:p w14:paraId="7DD699B9" w14:textId="77777777"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b/>
                <w:color w:val="000000"/>
                <w:kern w:val="28"/>
                <w:sz w:val="26"/>
                <w:szCs w:val="26"/>
              </w:rPr>
            </w:pPr>
            <w:r w:rsidRPr="009921B1">
              <w:rPr>
                <w:rFonts w:ascii="Times New Roman" w:hAnsi="Times New Roman" w:cs="Times New Roman"/>
                <w:b/>
                <w:color w:val="000000"/>
                <w:kern w:val="28"/>
                <w:sz w:val="26"/>
                <w:szCs w:val="26"/>
              </w:rPr>
              <w:t>CỘNG HÒA XÃ HỘI CHỦ NGHĨA VIỆT NAM</w:t>
            </w:r>
          </w:p>
          <w:p w14:paraId="2CD44A84" w14:textId="77777777"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b/>
                <w:bCs/>
                <w:color w:val="000000"/>
                <w:kern w:val="28"/>
                <w:sz w:val="28"/>
              </w:rPr>
            </w:pPr>
            <w:r w:rsidRPr="009921B1">
              <w:rPr>
                <w:rFonts w:ascii="Times New Roman" w:hAnsi="Times New Roman" w:cs="Times New Roman"/>
                <w:b/>
                <w:bCs/>
                <w:color w:val="000000"/>
                <w:kern w:val="28"/>
                <w:sz w:val="28"/>
              </w:rPr>
              <w:t>Độc lập – Tự do – Hạnh phúc</w:t>
            </w:r>
          </w:p>
          <w:p w14:paraId="673B6A9D" w14:textId="77777777" w:rsidR="003C72A3" w:rsidRPr="009921B1" w:rsidRDefault="003C72A3" w:rsidP="0072566C">
            <w:pPr>
              <w:widowControl w:val="0"/>
              <w:tabs>
                <w:tab w:val="center" w:pos="2160"/>
                <w:tab w:val="center" w:pos="6480"/>
                <w:tab w:val="center" w:pos="7200"/>
              </w:tabs>
              <w:spacing w:after="0" w:line="240" w:lineRule="auto"/>
              <w:jc w:val="both"/>
              <w:rPr>
                <w:rFonts w:ascii="Times New Roman" w:hAnsi="Times New Roman" w:cs="Times New Roman"/>
                <w:color w:val="000000"/>
                <w:kern w:val="28"/>
              </w:rPr>
            </w:pPr>
            <w:r w:rsidRPr="009921B1">
              <w:rPr>
                <w:rFonts w:ascii="Times New Roman" w:hAnsi="Times New Roman" w:cs="Times New Roman"/>
                <w:noProof/>
                <w:color w:val="000000"/>
                <w:kern w:val="28"/>
              </w:rPr>
              <mc:AlternateContent>
                <mc:Choice Requires="wps">
                  <w:drawing>
                    <wp:anchor distT="0" distB="0" distL="114300" distR="114300" simplePos="0" relativeHeight="251659264" behindDoc="0" locked="0" layoutInCell="1" allowOverlap="1" wp14:anchorId="2F93B1B6" wp14:editId="5015574D">
                      <wp:simplePos x="0" y="0"/>
                      <wp:positionH relativeFrom="column">
                        <wp:posOffset>577520</wp:posOffset>
                      </wp:positionH>
                      <wp:positionV relativeFrom="paragraph">
                        <wp:posOffset>15875</wp:posOffset>
                      </wp:positionV>
                      <wp:extent cx="20542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7284E3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5pt,1.25pt" to="207.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7V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"/>
                  </w:pict>
                </mc:Fallback>
              </mc:AlternateContent>
            </w:r>
          </w:p>
          <w:p w14:paraId="6D75FFDE" w14:textId="1B6F0948" w:rsidR="003C72A3" w:rsidRPr="009921B1" w:rsidRDefault="003C72A3" w:rsidP="0072566C">
            <w:pPr>
              <w:widowControl w:val="0"/>
              <w:tabs>
                <w:tab w:val="center" w:pos="2160"/>
                <w:tab w:val="center" w:pos="6480"/>
                <w:tab w:val="center" w:pos="7200"/>
              </w:tabs>
              <w:spacing w:after="0" w:line="240" w:lineRule="auto"/>
              <w:jc w:val="center"/>
              <w:rPr>
                <w:rFonts w:ascii="Times New Roman" w:hAnsi="Times New Roman" w:cs="Times New Roman"/>
                <w:color w:val="000000"/>
                <w:kern w:val="28"/>
                <w:sz w:val="26"/>
                <w:szCs w:val="26"/>
              </w:rPr>
            </w:pPr>
            <w:r w:rsidRPr="009921B1">
              <w:rPr>
                <w:rFonts w:ascii="Times New Roman" w:hAnsi="Times New Roman" w:cs="Times New Roman"/>
                <w:i/>
                <w:iCs/>
                <w:color w:val="000000"/>
                <w:kern w:val="28"/>
                <w:sz w:val="26"/>
                <w:szCs w:val="26"/>
              </w:rPr>
              <w:t>Hà Nội, ngày</w:t>
            </w:r>
            <w:r w:rsidR="003226A0" w:rsidRPr="009921B1">
              <w:rPr>
                <w:rFonts w:ascii="Times New Roman" w:hAnsi="Times New Roman" w:cs="Times New Roman"/>
                <w:i/>
                <w:iCs/>
                <w:color w:val="000000"/>
                <w:kern w:val="28"/>
                <w:sz w:val="26"/>
                <w:szCs w:val="26"/>
              </w:rPr>
              <w:t xml:space="preserve"> 15 </w:t>
            </w:r>
            <w:r w:rsidRPr="009921B1">
              <w:rPr>
                <w:rFonts w:ascii="Times New Roman" w:hAnsi="Times New Roman" w:cs="Times New Roman"/>
                <w:i/>
                <w:iCs/>
                <w:color w:val="000000"/>
                <w:kern w:val="28"/>
                <w:sz w:val="26"/>
                <w:szCs w:val="26"/>
              </w:rPr>
              <w:t xml:space="preserve">tháng </w:t>
            </w:r>
            <w:r w:rsidR="0072566C" w:rsidRPr="009921B1">
              <w:rPr>
                <w:rFonts w:ascii="Times New Roman" w:hAnsi="Times New Roman" w:cs="Times New Roman"/>
                <w:i/>
                <w:iCs/>
                <w:color w:val="000000"/>
                <w:kern w:val="28"/>
                <w:sz w:val="26"/>
                <w:szCs w:val="26"/>
              </w:rPr>
              <w:t>8</w:t>
            </w:r>
            <w:r w:rsidRPr="009921B1">
              <w:rPr>
                <w:rFonts w:ascii="Times New Roman" w:hAnsi="Times New Roman" w:cs="Times New Roman"/>
                <w:i/>
                <w:iCs/>
                <w:color w:val="000000"/>
                <w:kern w:val="28"/>
                <w:sz w:val="26"/>
                <w:szCs w:val="26"/>
              </w:rPr>
              <w:t xml:space="preserve"> năm 2025</w:t>
            </w:r>
          </w:p>
        </w:tc>
      </w:tr>
    </w:tbl>
    <w:p w14:paraId="29752283" w14:textId="77777777" w:rsidR="00FE3F9A" w:rsidRPr="009921B1" w:rsidRDefault="00FE3F9A" w:rsidP="00650474">
      <w:pPr>
        <w:widowControl w:val="0"/>
        <w:jc w:val="center"/>
        <w:rPr>
          <w:rFonts w:ascii="Times New Roman" w:hAnsi="Times New Roman" w:cs="Times New Roman"/>
          <w:b/>
          <w:bCs/>
          <w:color w:val="000000"/>
          <w:sz w:val="28"/>
          <w:szCs w:val="20"/>
        </w:rPr>
      </w:pPr>
    </w:p>
    <w:p w14:paraId="0DB9C852" w14:textId="29790671" w:rsidR="00FE3F9A" w:rsidRPr="009921B1" w:rsidRDefault="00FE3F9A" w:rsidP="00650474">
      <w:pPr>
        <w:widowControl w:val="0"/>
        <w:jc w:val="center"/>
        <w:rPr>
          <w:rFonts w:ascii="Times New Roman" w:hAnsi="Times New Roman" w:cs="Times New Roman"/>
          <w:b/>
          <w:bCs/>
          <w:color w:val="000000"/>
          <w:sz w:val="28"/>
          <w:szCs w:val="20"/>
        </w:rPr>
      </w:pPr>
      <w:r w:rsidRPr="009921B1">
        <w:rPr>
          <w:rFonts w:ascii="Times New Roman" w:hAnsi="Times New Roman" w:cs="Times New Roman"/>
          <w:b/>
          <w:bCs/>
          <w:color w:val="000000"/>
          <w:sz w:val="28"/>
          <w:szCs w:val="20"/>
        </w:rPr>
        <w:t xml:space="preserve">BẢN </w:t>
      </w:r>
      <w:bookmarkStart w:id="0" w:name="_Hlk205279658"/>
      <w:r w:rsidRPr="009921B1">
        <w:rPr>
          <w:rFonts w:ascii="Times New Roman" w:hAnsi="Times New Roman" w:cs="Times New Roman"/>
          <w:b/>
          <w:bCs/>
          <w:color w:val="000000"/>
          <w:sz w:val="28"/>
          <w:szCs w:val="20"/>
        </w:rPr>
        <w:t>TỔNG HỢP Ý KIẾN,</w:t>
      </w:r>
      <w:r w:rsidR="001C22A9" w:rsidRPr="009921B1">
        <w:rPr>
          <w:rFonts w:ascii="Times New Roman" w:hAnsi="Times New Roman" w:cs="Times New Roman"/>
          <w:b/>
          <w:bCs/>
          <w:color w:val="000000"/>
          <w:sz w:val="28"/>
          <w:szCs w:val="20"/>
        </w:rPr>
        <w:t xml:space="preserve"> </w:t>
      </w:r>
      <w:r w:rsidRPr="009921B1">
        <w:rPr>
          <w:rFonts w:ascii="Times New Roman" w:hAnsi="Times New Roman" w:cs="Times New Roman"/>
          <w:b/>
          <w:bCs/>
          <w:color w:val="000000"/>
          <w:sz w:val="28"/>
          <w:szCs w:val="20"/>
        </w:rPr>
        <w:t>TIẾP THU, GIẢI TRÌNH Ý KIẾN GÓP Ý</w:t>
      </w:r>
      <w:r w:rsidR="000731FF" w:rsidRPr="009921B1">
        <w:rPr>
          <w:rFonts w:ascii="Times New Roman" w:hAnsi="Times New Roman" w:cs="Times New Roman"/>
          <w:b/>
          <w:bCs/>
          <w:color w:val="000000"/>
          <w:sz w:val="28"/>
          <w:szCs w:val="20"/>
        </w:rPr>
        <w:t xml:space="preserve"> </w:t>
      </w:r>
      <w:r w:rsidRPr="009921B1">
        <w:rPr>
          <w:rFonts w:ascii="Times New Roman" w:hAnsi="Times New Roman" w:cs="Times New Roman"/>
          <w:b/>
          <w:bCs/>
          <w:color w:val="000000"/>
          <w:sz w:val="28"/>
          <w:szCs w:val="20"/>
        </w:rPr>
        <w:t>ĐỐI VỚI DỰ THẢO</w:t>
      </w:r>
      <w:r w:rsidR="001C22A9" w:rsidRPr="009921B1">
        <w:rPr>
          <w:rFonts w:ascii="Times New Roman" w:hAnsi="Times New Roman" w:cs="Times New Roman"/>
          <w:b/>
          <w:bCs/>
          <w:color w:val="000000"/>
          <w:sz w:val="28"/>
          <w:szCs w:val="20"/>
        </w:rPr>
        <w:t xml:space="preserve"> </w:t>
      </w:r>
      <w:r w:rsidR="003226A0" w:rsidRPr="009921B1">
        <w:rPr>
          <w:rFonts w:ascii="Times New Roman" w:hAnsi="Times New Roman" w:cs="Times New Roman"/>
          <w:b/>
          <w:bCs/>
          <w:color w:val="000000"/>
          <w:sz w:val="28"/>
          <w:szCs w:val="20"/>
        </w:rPr>
        <w:t>THÔNG TƯ QUY ĐỊNH VỀ QUẢN LÝ, KHAI THÁC KẾT CẤU HẠ TẦNG</w:t>
      </w:r>
      <w:r w:rsidR="003D288D" w:rsidRPr="009921B1">
        <w:rPr>
          <w:rFonts w:ascii="Times New Roman" w:hAnsi="Times New Roman" w:cs="Times New Roman"/>
          <w:b/>
          <w:bCs/>
          <w:color w:val="000000"/>
          <w:sz w:val="28"/>
          <w:szCs w:val="20"/>
        </w:rPr>
        <w:t xml:space="preserve"> ĐƯỜNG SẮT </w:t>
      </w:r>
    </w:p>
    <w:bookmarkEnd w:id="0"/>
    <w:p w14:paraId="2B46A544" w14:textId="77777777" w:rsidR="00FE3F9A" w:rsidRPr="009921B1" w:rsidRDefault="00FE3F9A" w:rsidP="00650474">
      <w:pPr>
        <w:widowControl w:val="0"/>
        <w:rPr>
          <w:rFonts w:ascii="Times New Roman" w:hAnsi="Times New Roman" w:cs="Times New Roman"/>
          <w:color w:val="000000"/>
          <w:sz w:val="28"/>
          <w:szCs w:val="20"/>
        </w:rPr>
      </w:pPr>
    </w:p>
    <w:p w14:paraId="503EF360" w14:textId="74481440" w:rsidR="00FE3F9A" w:rsidRPr="00800D56" w:rsidRDefault="00FE3F9A" w:rsidP="007A44B2">
      <w:pPr>
        <w:widowControl w:val="0"/>
        <w:adjustRightInd w:val="0"/>
        <w:snapToGrid w:val="0"/>
        <w:spacing w:after="120" w:line="240" w:lineRule="auto"/>
        <w:ind w:firstLine="720"/>
        <w:jc w:val="both"/>
        <w:rPr>
          <w:rFonts w:ascii="Times New Roman" w:hAnsi="Times New Roman" w:cs="Times New Roman"/>
          <w:sz w:val="28"/>
          <w:szCs w:val="20"/>
        </w:rPr>
      </w:pPr>
      <w:r w:rsidRPr="00800D56">
        <w:rPr>
          <w:rFonts w:ascii="Times New Roman" w:hAnsi="Times New Roman" w:cs="Times New Roman"/>
          <w:sz w:val="28"/>
          <w:szCs w:val="20"/>
        </w:rPr>
        <w:t>Căn cứ Luật Ban hành văn bản q</w:t>
      </w:r>
      <w:bookmarkStart w:id="1" w:name="_GoBack"/>
      <w:bookmarkEnd w:id="1"/>
      <w:r w:rsidRPr="00800D56">
        <w:rPr>
          <w:rFonts w:ascii="Times New Roman" w:hAnsi="Times New Roman" w:cs="Times New Roman"/>
          <w:sz w:val="28"/>
          <w:szCs w:val="20"/>
        </w:rPr>
        <w:t>uy phạm pháp luật</w:t>
      </w:r>
      <w:r w:rsidR="003D288D" w:rsidRPr="00800D56">
        <w:rPr>
          <w:rFonts w:ascii="Times New Roman" w:hAnsi="Times New Roman" w:cs="Times New Roman"/>
          <w:sz w:val="28"/>
          <w:szCs w:val="20"/>
        </w:rPr>
        <w:t xml:space="preserve"> </w:t>
      </w:r>
      <w:r w:rsidRPr="00800D56">
        <w:rPr>
          <w:rFonts w:ascii="Times New Roman" w:hAnsi="Times New Roman" w:cs="Times New Roman"/>
          <w:sz w:val="28"/>
          <w:szCs w:val="20"/>
        </w:rPr>
        <w:t>cơ quan chủ trì soạn thảo đã tổ chức lấy ý kiến</w:t>
      </w:r>
      <w:r w:rsidR="003D288D" w:rsidRPr="00800D56">
        <w:rPr>
          <w:rFonts w:ascii="Times New Roman" w:hAnsi="Times New Roman" w:cs="Times New Roman"/>
          <w:sz w:val="28"/>
          <w:szCs w:val="20"/>
        </w:rPr>
        <w:t xml:space="preserve"> </w:t>
      </w:r>
      <w:r w:rsidRPr="00800D56">
        <w:rPr>
          <w:rFonts w:ascii="Times New Roman" w:hAnsi="Times New Roman" w:cs="Times New Roman"/>
          <w:sz w:val="28"/>
          <w:szCs w:val="20"/>
        </w:rPr>
        <w:t>đối với hồ sơ dự thảo</w:t>
      </w:r>
      <w:r w:rsidR="003D288D" w:rsidRPr="00800D56">
        <w:rPr>
          <w:rFonts w:ascii="Times New Roman" w:hAnsi="Times New Roman" w:cs="Times New Roman"/>
          <w:sz w:val="28"/>
          <w:szCs w:val="20"/>
        </w:rPr>
        <w:t xml:space="preserve"> </w:t>
      </w:r>
      <w:r w:rsidR="00800D56" w:rsidRPr="00800D56">
        <w:rPr>
          <w:rFonts w:ascii="Times New Roman" w:hAnsi="Times New Roman" w:cs="Times New Roman"/>
          <w:sz w:val="28"/>
          <w:szCs w:val="20"/>
        </w:rPr>
        <w:t>Thông tư quy định về quản lý, khai thác kết cấu hạ tầng đ</w:t>
      </w:r>
      <w:r w:rsidR="003D288D" w:rsidRPr="00800D56">
        <w:rPr>
          <w:rFonts w:ascii="Times New Roman" w:hAnsi="Times New Roman" w:cs="Times New Roman"/>
          <w:sz w:val="28"/>
          <w:szCs w:val="20"/>
        </w:rPr>
        <w:t>ường sắt.</w:t>
      </w:r>
    </w:p>
    <w:p w14:paraId="1A0B8344" w14:textId="77777777" w:rsidR="00FE3F9A" w:rsidRPr="002A0E1C" w:rsidRDefault="00FE3F9A" w:rsidP="007A44B2">
      <w:pPr>
        <w:widowControl w:val="0"/>
        <w:adjustRightInd w:val="0"/>
        <w:snapToGrid w:val="0"/>
        <w:spacing w:after="120" w:line="240" w:lineRule="auto"/>
        <w:ind w:firstLine="720"/>
        <w:jc w:val="both"/>
        <w:rPr>
          <w:rFonts w:ascii="Times New Roman" w:hAnsi="Times New Roman" w:cs="Times New Roman"/>
          <w:sz w:val="28"/>
          <w:szCs w:val="20"/>
        </w:rPr>
      </w:pPr>
      <w:bookmarkStart w:id="2" w:name="bookmark1260"/>
      <w:bookmarkEnd w:id="2"/>
      <w:r w:rsidRPr="002A0E1C">
        <w:rPr>
          <w:rFonts w:ascii="Times New Roman" w:hAnsi="Times New Roman" w:cs="Times New Roman"/>
          <w:sz w:val="28"/>
          <w:szCs w:val="20"/>
        </w:rPr>
        <w:t>1. Tổng số cơ quan, tổ chức</w:t>
      </w:r>
      <w:r w:rsidR="0067452A" w:rsidRPr="002A0E1C">
        <w:rPr>
          <w:rFonts w:ascii="Times New Roman" w:hAnsi="Times New Roman" w:cs="Times New Roman"/>
          <w:sz w:val="28"/>
          <w:szCs w:val="20"/>
        </w:rPr>
        <w:t xml:space="preserve"> </w:t>
      </w:r>
      <w:r w:rsidRPr="002A0E1C">
        <w:rPr>
          <w:rFonts w:ascii="Times New Roman" w:hAnsi="Times New Roman" w:cs="Times New Roman"/>
          <w:sz w:val="28"/>
          <w:szCs w:val="20"/>
        </w:rPr>
        <w:t>đã gửi xin ý kiến</w:t>
      </w:r>
      <w:r w:rsidR="00A331AF" w:rsidRPr="002A0E1C">
        <w:rPr>
          <w:rFonts w:ascii="Times New Roman" w:hAnsi="Times New Roman" w:cs="Times New Roman"/>
          <w:sz w:val="28"/>
          <w:szCs w:val="20"/>
        </w:rPr>
        <w:t xml:space="preserve"> </w:t>
      </w:r>
      <w:r w:rsidRPr="002A0E1C">
        <w:rPr>
          <w:rFonts w:ascii="Times New Roman" w:hAnsi="Times New Roman" w:cs="Times New Roman"/>
          <w:sz w:val="28"/>
          <w:szCs w:val="20"/>
        </w:rPr>
        <w:t>góp ý</w:t>
      </w:r>
      <w:r w:rsidR="00A331AF" w:rsidRPr="002A0E1C">
        <w:rPr>
          <w:rFonts w:ascii="Times New Roman" w:hAnsi="Times New Roman" w:cs="Times New Roman"/>
          <w:sz w:val="28"/>
          <w:szCs w:val="20"/>
        </w:rPr>
        <w:t xml:space="preserve"> </w:t>
      </w:r>
      <w:r w:rsidRPr="002A0E1C">
        <w:rPr>
          <w:rFonts w:ascii="Times New Roman" w:hAnsi="Times New Roman" w:cs="Times New Roman"/>
          <w:sz w:val="28"/>
          <w:szCs w:val="20"/>
        </w:rPr>
        <w:t>và tổng số ý kiến nhận được</w:t>
      </w:r>
    </w:p>
    <w:p w14:paraId="46B795EE" w14:textId="73914D21" w:rsidR="0067452A" w:rsidRPr="002A0E1C" w:rsidRDefault="00382249" w:rsidP="007A44B2">
      <w:pPr>
        <w:widowControl w:val="0"/>
        <w:adjustRightInd w:val="0"/>
        <w:snapToGrid w:val="0"/>
        <w:spacing w:after="120" w:line="240" w:lineRule="auto"/>
        <w:ind w:firstLine="720"/>
        <w:jc w:val="both"/>
        <w:rPr>
          <w:rFonts w:ascii="Times New Roman" w:hAnsi="Times New Roman" w:cs="Times New Roman"/>
          <w:sz w:val="28"/>
          <w:szCs w:val="20"/>
        </w:rPr>
      </w:pPr>
      <w:r w:rsidRPr="002A0E1C">
        <w:rPr>
          <w:rFonts w:ascii="Times New Roman" w:hAnsi="Times New Roman" w:cs="Times New Roman"/>
          <w:sz w:val="28"/>
          <w:szCs w:val="20"/>
        </w:rPr>
        <w:t xml:space="preserve">Ngày </w:t>
      </w:r>
      <w:r w:rsidR="00592DE4" w:rsidRPr="002A0E1C">
        <w:rPr>
          <w:rFonts w:ascii="Times New Roman" w:hAnsi="Times New Roman" w:cs="Times New Roman"/>
          <w:sz w:val="28"/>
          <w:szCs w:val="20"/>
        </w:rPr>
        <w:t>05/8</w:t>
      </w:r>
      <w:r w:rsidR="00474248" w:rsidRPr="002A0E1C">
        <w:rPr>
          <w:rFonts w:ascii="Times New Roman" w:hAnsi="Times New Roman" w:cs="Times New Roman"/>
          <w:sz w:val="28"/>
          <w:szCs w:val="20"/>
        </w:rPr>
        <w:t xml:space="preserve">/2025, Cục ĐSVN đã có văn bản </w:t>
      </w:r>
      <w:r w:rsidR="00592DE4" w:rsidRPr="002A0E1C">
        <w:rPr>
          <w:rFonts w:ascii="Times New Roman" w:hAnsi="Times New Roman" w:cs="Times New Roman"/>
          <w:sz w:val="28"/>
          <w:szCs w:val="20"/>
        </w:rPr>
        <w:t xml:space="preserve">số 1782/CĐSVN-QLXD&amp;KCHT </w:t>
      </w:r>
      <w:r w:rsidR="00474248" w:rsidRPr="002A0E1C">
        <w:rPr>
          <w:rFonts w:ascii="Times New Roman" w:hAnsi="Times New Roman" w:cs="Times New Roman"/>
          <w:sz w:val="28"/>
          <w:szCs w:val="20"/>
        </w:rPr>
        <w:t xml:space="preserve">gửi các </w:t>
      </w:r>
      <w:r w:rsidR="00592DE4" w:rsidRPr="002A0E1C">
        <w:rPr>
          <w:rFonts w:ascii="Times New Roman" w:hAnsi="Times New Roman" w:cs="Times New Roman"/>
          <w:sz w:val="28"/>
          <w:szCs w:val="20"/>
        </w:rPr>
        <w:t>cơ quan, đơn vị thuộc Bộ</w:t>
      </w:r>
      <w:r w:rsidR="00474248" w:rsidRPr="002A0E1C">
        <w:rPr>
          <w:rFonts w:ascii="Times New Roman" w:hAnsi="Times New Roman" w:cs="Times New Roman"/>
          <w:sz w:val="28"/>
          <w:szCs w:val="20"/>
        </w:rPr>
        <w:t xml:space="preserve"> và </w:t>
      </w:r>
      <w:r w:rsidR="004B4BFD" w:rsidRPr="002A0E1C">
        <w:rPr>
          <w:rFonts w:ascii="Times New Roman" w:hAnsi="Times New Roman" w:cs="Times New Roman"/>
          <w:sz w:val="28"/>
          <w:szCs w:val="20"/>
        </w:rPr>
        <w:t xml:space="preserve">Tổng công ty ĐSVN để xin ý kiến góp ý đối với hồ sơ </w:t>
      </w:r>
      <w:r w:rsidR="00592DE4" w:rsidRPr="002A0E1C">
        <w:rPr>
          <w:rFonts w:ascii="Times New Roman" w:hAnsi="Times New Roman" w:cs="Times New Roman"/>
          <w:sz w:val="28"/>
          <w:szCs w:val="20"/>
        </w:rPr>
        <w:t xml:space="preserve">dự thảo Thông tư quy định về quản lý, khai thác kết cấu hạ tầng đường sắt </w:t>
      </w:r>
      <w:r w:rsidR="00DD2EC4" w:rsidRPr="002A0E1C">
        <w:rPr>
          <w:rFonts w:ascii="Times New Roman" w:hAnsi="Times New Roman" w:cs="Times New Roman"/>
          <w:sz w:val="28"/>
          <w:szCs w:val="20"/>
        </w:rPr>
        <w:t xml:space="preserve">với </w:t>
      </w:r>
      <w:r w:rsidR="006640AA" w:rsidRPr="002A0E1C">
        <w:rPr>
          <w:rFonts w:ascii="Times New Roman" w:hAnsi="Times New Roman" w:cs="Times New Roman"/>
          <w:sz w:val="28"/>
          <w:szCs w:val="20"/>
        </w:rPr>
        <w:t xml:space="preserve">tổng số </w:t>
      </w:r>
      <w:r w:rsidR="00592DE4" w:rsidRPr="002A0E1C">
        <w:rPr>
          <w:rFonts w:ascii="Times New Roman" w:hAnsi="Times New Roman" w:cs="Times New Roman"/>
          <w:sz w:val="28"/>
          <w:szCs w:val="20"/>
        </w:rPr>
        <w:t>1</w:t>
      </w:r>
      <w:r w:rsidR="006640AA" w:rsidRPr="002A0E1C">
        <w:rPr>
          <w:rFonts w:ascii="Times New Roman" w:hAnsi="Times New Roman" w:cs="Times New Roman"/>
          <w:sz w:val="28"/>
          <w:szCs w:val="20"/>
        </w:rPr>
        <w:t>2 cơ quan</w:t>
      </w:r>
      <w:r w:rsidR="00592DE4" w:rsidRPr="002A0E1C">
        <w:rPr>
          <w:rFonts w:ascii="Times New Roman" w:hAnsi="Times New Roman" w:cs="Times New Roman"/>
          <w:sz w:val="28"/>
          <w:szCs w:val="20"/>
        </w:rPr>
        <w:t>,</w:t>
      </w:r>
      <w:r w:rsidR="006640AA" w:rsidRPr="002A0E1C">
        <w:rPr>
          <w:rFonts w:ascii="Times New Roman" w:hAnsi="Times New Roman" w:cs="Times New Roman"/>
          <w:sz w:val="28"/>
          <w:szCs w:val="20"/>
        </w:rPr>
        <w:t xml:space="preserve"> đơn vị. </w:t>
      </w:r>
      <w:r w:rsidR="00592DE4" w:rsidRPr="002A0E1C">
        <w:rPr>
          <w:rFonts w:ascii="Times New Roman" w:hAnsi="Times New Roman" w:cs="Times New Roman"/>
          <w:sz w:val="28"/>
          <w:szCs w:val="20"/>
        </w:rPr>
        <w:t>Nhưng do tiến độ gấp nên đ</w:t>
      </w:r>
      <w:r w:rsidR="006640AA" w:rsidRPr="002A0E1C">
        <w:rPr>
          <w:rFonts w:ascii="Times New Roman" w:hAnsi="Times New Roman" w:cs="Times New Roman"/>
          <w:sz w:val="28"/>
          <w:szCs w:val="20"/>
        </w:rPr>
        <w:t xml:space="preserve">ến nay Cục ĐSVN </w:t>
      </w:r>
      <w:r w:rsidR="00592DE4" w:rsidRPr="002A0E1C">
        <w:rPr>
          <w:rFonts w:ascii="Times New Roman" w:hAnsi="Times New Roman" w:cs="Times New Roman"/>
          <w:sz w:val="28"/>
          <w:szCs w:val="20"/>
        </w:rPr>
        <w:t xml:space="preserve">mới </w:t>
      </w:r>
      <w:r w:rsidR="006640AA" w:rsidRPr="002A0E1C">
        <w:rPr>
          <w:rFonts w:ascii="Times New Roman" w:hAnsi="Times New Roman" w:cs="Times New Roman"/>
          <w:sz w:val="28"/>
          <w:szCs w:val="20"/>
        </w:rPr>
        <w:t xml:space="preserve">nhận được </w:t>
      </w:r>
      <w:r w:rsidR="00F36C56" w:rsidRPr="002A0E1C">
        <w:rPr>
          <w:rFonts w:ascii="Times New Roman" w:hAnsi="Times New Roman" w:cs="Times New Roman"/>
          <w:sz w:val="28"/>
          <w:szCs w:val="20"/>
        </w:rPr>
        <w:t xml:space="preserve">ý kiến của </w:t>
      </w:r>
      <w:r w:rsidR="002A0E1C" w:rsidRPr="002A0E1C">
        <w:rPr>
          <w:rFonts w:ascii="Times New Roman" w:hAnsi="Times New Roman" w:cs="Times New Roman"/>
          <w:sz w:val="28"/>
          <w:szCs w:val="20"/>
        </w:rPr>
        <w:t>02</w:t>
      </w:r>
      <w:r w:rsidR="00F36C56" w:rsidRPr="002A0E1C">
        <w:rPr>
          <w:rFonts w:ascii="Times New Roman" w:hAnsi="Times New Roman" w:cs="Times New Roman"/>
          <w:sz w:val="28"/>
          <w:szCs w:val="20"/>
        </w:rPr>
        <w:t xml:space="preserve"> cơ quan, đơn vị gồm: </w:t>
      </w:r>
      <w:r w:rsidR="002A0E1C" w:rsidRPr="002A0E1C">
        <w:rPr>
          <w:rFonts w:ascii="Times New Roman" w:hAnsi="Times New Roman" w:cs="Times New Roman"/>
          <w:sz w:val="28"/>
          <w:szCs w:val="20"/>
        </w:rPr>
        <w:t>Vụ Vận tải &amp; An toàn giao thông, Ban QLDA Đường sắt</w:t>
      </w:r>
      <w:r w:rsidR="00BF4DF0" w:rsidRPr="002A0E1C">
        <w:rPr>
          <w:rFonts w:ascii="Times New Roman" w:hAnsi="Times New Roman" w:cs="Times New Roman"/>
          <w:sz w:val="28"/>
          <w:szCs w:val="20"/>
        </w:rPr>
        <w:t>.</w:t>
      </w:r>
    </w:p>
    <w:p w14:paraId="1B7CF43B" w14:textId="77777777" w:rsidR="006A5D7E" w:rsidRDefault="00FE3F9A" w:rsidP="002A0E1C">
      <w:pPr>
        <w:widowControl w:val="0"/>
        <w:adjustRightInd w:val="0"/>
        <w:snapToGrid w:val="0"/>
        <w:spacing w:after="120" w:line="240" w:lineRule="auto"/>
        <w:ind w:firstLine="720"/>
        <w:jc w:val="both"/>
        <w:rPr>
          <w:rFonts w:ascii="Times New Roman" w:hAnsi="Times New Roman" w:cs="Times New Roman"/>
          <w:sz w:val="28"/>
          <w:szCs w:val="20"/>
        </w:rPr>
        <w:sectPr w:rsidR="006A5D7E" w:rsidSect="00C17754">
          <w:headerReference w:type="default" r:id="rId8"/>
          <w:pgSz w:w="11907" w:h="16840" w:code="9"/>
          <w:pgMar w:top="1134" w:right="1134" w:bottom="1134" w:left="1701" w:header="720" w:footer="720" w:gutter="0"/>
          <w:cols w:space="720"/>
          <w:titlePg/>
          <w:docGrid w:linePitch="360"/>
        </w:sectPr>
      </w:pPr>
      <w:bookmarkStart w:id="3" w:name="bookmark1261"/>
      <w:bookmarkEnd w:id="3"/>
      <w:r w:rsidRPr="002A0E1C">
        <w:rPr>
          <w:rFonts w:ascii="Times New Roman" w:hAnsi="Times New Roman" w:cs="Times New Roman"/>
          <w:sz w:val="28"/>
          <w:szCs w:val="20"/>
        </w:rPr>
        <w:t>2. Kết quả cụ thể</w:t>
      </w:r>
      <w:r w:rsidR="002A0E1C" w:rsidRPr="002A0E1C">
        <w:rPr>
          <w:rFonts w:ascii="Times New Roman" w:hAnsi="Times New Roman" w:cs="Times New Roman"/>
          <w:sz w:val="28"/>
          <w:szCs w:val="20"/>
        </w:rPr>
        <w:t xml:space="preserve"> được </w:t>
      </w:r>
      <w:r w:rsidR="002A5ACF" w:rsidRPr="002A0E1C">
        <w:rPr>
          <w:rFonts w:ascii="Times New Roman" w:hAnsi="Times New Roman" w:cs="Times New Roman"/>
          <w:sz w:val="28"/>
          <w:szCs w:val="20"/>
        </w:rPr>
        <w:t xml:space="preserve">tổng hợp </w:t>
      </w:r>
      <w:r w:rsidR="002A0E1C">
        <w:rPr>
          <w:rFonts w:ascii="Times New Roman" w:hAnsi="Times New Roman" w:cs="Times New Roman"/>
          <w:sz w:val="28"/>
          <w:szCs w:val="20"/>
        </w:rPr>
        <w:t>tại bảng</w:t>
      </w:r>
      <w:r w:rsidR="002A0E1C" w:rsidRPr="002A0E1C">
        <w:rPr>
          <w:rFonts w:ascii="Times New Roman" w:hAnsi="Times New Roman" w:cs="Times New Roman"/>
          <w:sz w:val="28"/>
          <w:szCs w:val="20"/>
        </w:rPr>
        <w:t xml:space="preserve"> sau:</w:t>
      </w:r>
    </w:p>
    <w:tbl>
      <w:tblPr>
        <w:tblOverlap w:val="never"/>
        <w:tblW w:w="491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1282"/>
        <w:gridCol w:w="4816"/>
        <w:gridCol w:w="4788"/>
        <w:gridCol w:w="23"/>
      </w:tblGrid>
      <w:tr w:rsidR="006A5D7E" w:rsidRPr="009921B1" w14:paraId="7EEE9AF0" w14:textId="77777777" w:rsidTr="00C93FCE">
        <w:trPr>
          <w:gridAfter w:val="1"/>
          <w:wAfter w:w="8" w:type="pct"/>
          <w:trHeight w:val="20"/>
          <w:tblHeader/>
        </w:trPr>
        <w:tc>
          <w:tcPr>
            <w:tcW w:w="1188" w:type="pct"/>
            <w:shd w:val="clear" w:color="auto" w:fill="FFFFFF"/>
            <w:vAlign w:val="center"/>
            <w:hideMark/>
          </w:tcPr>
          <w:p w14:paraId="3B85A9F8" w14:textId="77777777" w:rsidR="006A5D7E" w:rsidRPr="006A5D7E" w:rsidRDefault="006A5D7E" w:rsidP="00C93FCE">
            <w:pPr>
              <w:widowControl w:val="0"/>
              <w:spacing w:before="60" w:after="0" w:line="240" w:lineRule="auto"/>
              <w:ind w:left="57" w:right="57"/>
              <w:jc w:val="center"/>
              <w:rPr>
                <w:rFonts w:ascii="Times New Roman" w:hAnsi="Times New Roman" w:cs="Times New Roman"/>
                <w:sz w:val="24"/>
                <w:szCs w:val="20"/>
              </w:rPr>
            </w:pPr>
            <w:r w:rsidRPr="006A5D7E">
              <w:rPr>
                <w:rFonts w:ascii="Times New Roman" w:hAnsi="Times New Roman" w:cs="Times New Roman"/>
                <w:b/>
                <w:bCs/>
                <w:sz w:val="24"/>
                <w:szCs w:val="20"/>
              </w:rPr>
              <w:lastRenderedPageBreak/>
              <w:t>CHÍNH SÁCH HOẶC NHÓM VẤN ĐỀ, ĐIỀU, KHOẢN</w:t>
            </w:r>
          </w:p>
        </w:tc>
        <w:tc>
          <w:tcPr>
            <w:tcW w:w="448" w:type="pct"/>
            <w:shd w:val="clear" w:color="auto" w:fill="FFFFFF"/>
            <w:vAlign w:val="center"/>
            <w:hideMark/>
          </w:tcPr>
          <w:p w14:paraId="11D6553B" w14:textId="77777777" w:rsidR="006A5D7E" w:rsidRPr="006A5D7E" w:rsidRDefault="006A5D7E" w:rsidP="00C93FCE">
            <w:pPr>
              <w:widowControl w:val="0"/>
              <w:spacing w:before="60" w:after="0" w:line="240" w:lineRule="auto"/>
              <w:ind w:left="57" w:right="57"/>
              <w:jc w:val="center"/>
              <w:rPr>
                <w:rFonts w:ascii="Times New Roman" w:hAnsi="Times New Roman" w:cs="Times New Roman"/>
                <w:sz w:val="24"/>
                <w:szCs w:val="20"/>
              </w:rPr>
            </w:pPr>
            <w:r w:rsidRPr="006A5D7E">
              <w:rPr>
                <w:rFonts w:ascii="Times New Roman" w:hAnsi="Times New Roman" w:cs="Times New Roman"/>
                <w:b/>
                <w:bCs/>
                <w:sz w:val="24"/>
                <w:szCs w:val="20"/>
              </w:rPr>
              <w:t>CHỦ THỂ GÓP Ý</w:t>
            </w:r>
          </w:p>
        </w:tc>
        <w:tc>
          <w:tcPr>
            <w:tcW w:w="1683" w:type="pct"/>
            <w:shd w:val="clear" w:color="auto" w:fill="FFFFFF"/>
            <w:vAlign w:val="center"/>
            <w:hideMark/>
          </w:tcPr>
          <w:p w14:paraId="66906C82" w14:textId="77777777" w:rsidR="006A5D7E" w:rsidRPr="006A5D7E" w:rsidRDefault="006A5D7E" w:rsidP="00C93FCE">
            <w:pPr>
              <w:widowControl w:val="0"/>
              <w:spacing w:before="60" w:after="0" w:line="240" w:lineRule="auto"/>
              <w:ind w:left="57" w:right="57"/>
              <w:jc w:val="center"/>
              <w:rPr>
                <w:rFonts w:ascii="Times New Roman" w:hAnsi="Times New Roman" w:cs="Times New Roman"/>
                <w:sz w:val="24"/>
                <w:szCs w:val="20"/>
              </w:rPr>
            </w:pPr>
            <w:r w:rsidRPr="006A5D7E">
              <w:rPr>
                <w:rFonts w:ascii="Times New Roman" w:hAnsi="Times New Roman" w:cs="Times New Roman"/>
                <w:b/>
                <w:bCs/>
                <w:sz w:val="24"/>
                <w:szCs w:val="20"/>
              </w:rPr>
              <w:t>NỘI DUNG GÓP Ý</w:t>
            </w:r>
          </w:p>
        </w:tc>
        <w:tc>
          <w:tcPr>
            <w:tcW w:w="1673" w:type="pct"/>
            <w:shd w:val="clear" w:color="auto" w:fill="FFFFFF"/>
            <w:vAlign w:val="center"/>
            <w:hideMark/>
          </w:tcPr>
          <w:p w14:paraId="4D9F9A48" w14:textId="77777777" w:rsidR="006A5D7E" w:rsidRPr="006A5D7E" w:rsidRDefault="006A5D7E" w:rsidP="00C93FCE">
            <w:pPr>
              <w:widowControl w:val="0"/>
              <w:spacing w:before="60" w:after="0" w:line="240" w:lineRule="auto"/>
              <w:ind w:left="57" w:right="57"/>
              <w:jc w:val="center"/>
              <w:rPr>
                <w:rFonts w:ascii="Times New Roman" w:hAnsi="Times New Roman" w:cs="Times New Roman"/>
                <w:sz w:val="24"/>
                <w:szCs w:val="20"/>
              </w:rPr>
            </w:pPr>
            <w:r w:rsidRPr="006A5D7E">
              <w:rPr>
                <w:rFonts w:ascii="Times New Roman" w:hAnsi="Times New Roman" w:cs="Times New Roman"/>
                <w:b/>
                <w:bCs/>
                <w:sz w:val="24"/>
                <w:szCs w:val="20"/>
              </w:rPr>
              <w:t>NỘI DUNG TIẾP THU, GIẢI TRÌNH</w:t>
            </w:r>
          </w:p>
        </w:tc>
      </w:tr>
      <w:tr w:rsidR="006A5D7E" w:rsidRPr="009921B1" w14:paraId="764DE1DF" w14:textId="77777777" w:rsidTr="00C93FCE">
        <w:trPr>
          <w:trHeight w:val="20"/>
        </w:trPr>
        <w:tc>
          <w:tcPr>
            <w:tcW w:w="5000" w:type="pct"/>
            <w:gridSpan w:val="5"/>
            <w:shd w:val="clear" w:color="auto" w:fill="FFFFFF"/>
          </w:tcPr>
          <w:p w14:paraId="22BAE0C6" w14:textId="77777777" w:rsidR="006A5D7E" w:rsidRPr="00CC4A6B" w:rsidRDefault="006A5D7E"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
                <w:bCs/>
                <w:sz w:val="24"/>
                <w:szCs w:val="20"/>
              </w:rPr>
              <w:t>I. Ý KIẾN CHUNG</w:t>
            </w:r>
          </w:p>
        </w:tc>
      </w:tr>
      <w:tr w:rsidR="006A5D7E" w:rsidRPr="009921B1" w14:paraId="16E9063C" w14:textId="77777777" w:rsidTr="00C93FCE">
        <w:trPr>
          <w:gridAfter w:val="1"/>
          <w:wAfter w:w="8" w:type="pct"/>
          <w:trHeight w:val="20"/>
        </w:trPr>
        <w:tc>
          <w:tcPr>
            <w:tcW w:w="1188" w:type="pct"/>
            <w:shd w:val="clear" w:color="auto" w:fill="FFFFFF"/>
          </w:tcPr>
          <w:p w14:paraId="24DF0EF7" w14:textId="05B1953D" w:rsidR="006A5D7E" w:rsidRPr="009921B1" w:rsidRDefault="0028178F" w:rsidP="00C93FCE">
            <w:pPr>
              <w:widowControl w:val="0"/>
              <w:spacing w:before="60" w:after="0" w:line="240" w:lineRule="auto"/>
              <w:ind w:left="57" w:right="57"/>
              <w:jc w:val="both"/>
              <w:rPr>
                <w:rFonts w:ascii="Times New Roman" w:hAnsi="Times New Roman" w:cs="Times New Roman"/>
                <w:bCs/>
                <w:color w:val="0000CC"/>
                <w:sz w:val="24"/>
                <w:szCs w:val="20"/>
              </w:rPr>
            </w:pPr>
            <w:r w:rsidRPr="0028178F">
              <w:rPr>
                <w:rFonts w:ascii="Times New Roman" w:hAnsi="Times New Roman" w:cs="Times New Roman"/>
                <w:bCs/>
                <w:sz w:val="24"/>
                <w:szCs w:val="20"/>
              </w:rPr>
              <w:t>Về thành phần hồ sơ dự thảo Thông tư</w:t>
            </w:r>
          </w:p>
        </w:tc>
        <w:tc>
          <w:tcPr>
            <w:tcW w:w="448" w:type="pct"/>
            <w:shd w:val="clear" w:color="auto" w:fill="FFFFFF"/>
          </w:tcPr>
          <w:p w14:paraId="1C4DE363" w14:textId="1F75D5DD" w:rsidR="006A5D7E" w:rsidRPr="00CC4A6B" w:rsidRDefault="006A5D7E"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Cs/>
                <w:sz w:val="24"/>
                <w:szCs w:val="20"/>
              </w:rPr>
              <w:t>Vụ VT&amp;ATGT</w:t>
            </w:r>
          </w:p>
        </w:tc>
        <w:tc>
          <w:tcPr>
            <w:tcW w:w="1683" w:type="pct"/>
            <w:shd w:val="clear" w:color="auto" w:fill="FFFFFF"/>
          </w:tcPr>
          <w:p w14:paraId="03A0E896" w14:textId="77777777" w:rsidR="006A5D7E" w:rsidRPr="00CC4A6B" w:rsidRDefault="00CC4A6B"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Cs/>
                <w:sz w:val="24"/>
                <w:szCs w:val="20"/>
              </w:rPr>
              <w:t>Đề nghị bổ sung hồ sơ:</w:t>
            </w:r>
          </w:p>
          <w:p w14:paraId="35950C49" w14:textId="77777777" w:rsidR="00CC4A6B" w:rsidRPr="00CC4A6B" w:rsidRDefault="00CC4A6B"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Cs/>
                <w:sz w:val="24"/>
                <w:szCs w:val="20"/>
              </w:rPr>
              <w:t>- Bản đánh giá TTHC, việc phân cấp, thực hiện nhiệm vụ, quyền hạn được phân cấp, việc ứng dụng, thúc đẩy phát triển khoa học, công nghệ, đổi mới sáng tạo và chuyển đổi số (nếu có).</w:t>
            </w:r>
          </w:p>
          <w:p w14:paraId="1713D841" w14:textId="77777777" w:rsidR="00CC4A6B" w:rsidRPr="00CC4A6B" w:rsidRDefault="00CC4A6B"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Cs/>
                <w:sz w:val="24"/>
                <w:szCs w:val="20"/>
              </w:rPr>
              <w:t>- Bản so sánh, thuyết minh dự thảo thông tư.</w:t>
            </w:r>
          </w:p>
          <w:p w14:paraId="6C850F0F" w14:textId="4B67145E" w:rsidR="00CC4A6B" w:rsidRPr="00CC4A6B" w:rsidRDefault="00CC4A6B"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Cs/>
                <w:sz w:val="24"/>
                <w:szCs w:val="20"/>
              </w:rPr>
              <w:t>- Báo cáo đánh giá thực trạng quan hệ xã hội liên quan đến dự thảo văn bản.</w:t>
            </w:r>
          </w:p>
        </w:tc>
        <w:tc>
          <w:tcPr>
            <w:tcW w:w="1673" w:type="pct"/>
            <w:shd w:val="clear" w:color="auto" w:fill="FFFFFF"/>
          </w:tcPr>
          <w:p w14:paraId="141E4D33" w14:textId="35A552B9" w:rsidR="008E3E85" w:rsidRDefault="009031A1" w:rsidP="00C93FCE">
            <w:pPr>
              <w:widowControl w:val="0"/>
              <w:spacing w:before="60" w:after="0" w:line="240" w:lineRule="auto"/>
              <w:ind w:right="57"/>
              <w:jc w:val="both"/>
              <w:rPr>
                <w:rFonts w:ascii="Times New Roman" w:hAnsi="Times New Roman" w:cs="Times New Roman"/>
                <w:bCs/>
                <w:sz w:val="24"/>
                <w:szCs w:val="20"/>
              </w:rPr>
            </w:pPr>
            <w:r>
              <w:rPr>
                <w:rFonts w:ascii="Times New Roman" w:hAnsi="Times New Roman" w:cs="Times New Roman"/>
                <w:bCs/>
                <w:sz w:val="24"/>
                <w:szCs w:val="20"/>
              </w:rPr>
              <w:t xml:space="preserve">1. </w:t>
            </w:r>
            <w:r w:rsidR="006A5D7E" w:rsidRPr="00CC4A6B">
              <w:rPr>
                <w:rFonts w:ascii="Times New Roman" w:hAnsi="Times New Roman" w:cs="Times New Roman"/>
                <w:bCs/>
                <w:sz w:val="24"/>
                <w:szCs w:val="20"/>
              </w:rPr>
              <w:t xml:space="preserve">Nội dung này </w:t>
            </w:r>
            <w:r w:rsidR="00CC4A6B">
              <w:rPr>
                <w:rFonts w:ascii="Times New Roman" w:hAnsi="Times New Roman" w:cs="Times New Roman"/>
                <w:bCs/>
                <w:sz w:val="24"/>
                <w:szCs w:val="20"/>
              </w:rPr>
              <w:t>cơ quan soạn thảo tiếp thu</w:t>
            </w:r>
            <w:r w:rsidR="008E3E85">
              <w:rPr>
                <w:rFonts w:ascii="Times New Roman" w:hAnsi="Times New Roman" w:cs="Times New Roman"/>
                <w:bCs/>
                <w:sz w:val="24"/>
                <w:szCs w:val="20"/>
              </w:rPr>
              <w:t>, bổ sung hồ sơ dự thảo thông tư theo quy định tại điểm b khoản 2 Điều 39 Nghị định số 78/2025/NĐ-CP (được sửa đổi, bổ sung tại Nghị định số 178/2025/NĐ-CP) gồm:</w:t>
            </w:r>
          </w:p>
          <w:p w14:paraId="015581D2" w14:textId="45558D9A" w:rsidR="008E3E85" w:rsidRDefault="008E3E85" w:rsidP="00C93FCE">
            <w:pPr>
              <w:widowControl w:val="0"/>
              <w:spacing w:before="60" w:after="0" w:line="240" w:lineRule="auto"/>
              <w:ind w:right="57"/>
              <w:jc w:val="both"/>
              <w:rPr>
                <w:rFonts w:ascii="Times New Roman" w:hAnsi="Times New Roman" w:cs="Times New Roman"/>
                <w:bCs/>
                <w:sz w:val="24"/>
                <w:szCs w:val="20"/>
              </w:rPr>
            </w:pPr>
            <w:r>
              <w:rPr>
                <w:rFonts w:ascii="Times New Roman" w:hAnsi="Times New Roman" w:cs="Times New Roman"/>
                <w:bCs/>
                <w:sz w:val="24"/>
                <w:szCs w:val="20"/>
              </w:rPr>
              <w:t>- Tờ trình dự thảo thông tư.</w:t>
            </w:r>
          </w:p>
          <w:p w14:paraId="1A31AD1B" w14:textId="5178D660" w:rsidR="008E3E85" w:rsidRDefault="008E3E85" w:rsidP="00C93FCE">
            <w:pPr>
              <w:widowControl w:val="0"/>
              <w:spacing w:before="60" w:after="0" w:line="240" w:lineRule="auto"/>
              <w:ind w:right="57"/>
              <w:jc w:val="both"/>
              <w:rPr>
                <w:rFonts w:ascii="Times New Roman" w:hAnsi="Times New Roman" w:cs="Times New Roman"/>
                <w:bCs/>
                <w:sz w:val="24"/>
                <w:szCs w:val="20"/>
              </w:rPr>
            </w:pPr>
            <w:r>
              <w:rPr>
                <w:rFonts w:ascii="Times New Roman" w:hAnsi="Times New Roman" w:cs="Times New Roman"/>
                <w:bCs/>
                <w:sz w:val="24"/>
                <w:szCs w:val="20"/>
              </w:rPr>
              <w:t>- Dự thảo Thông tư.</w:t>
            </w:r>
          </w:p>
          <w:p w14:paraId="1FE046B0" w14:textId="6F20C6F7" w:rsidR="008E3E85" w:rsidRPr="00CC4A6B" w:rsidRDefault="008E3E85"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CC4A6B">
              <w:rPr>
                <w:rFonts w:ascii="Times New Roman" w:hAnsi="Times New Roman" w:cs="Times New Roman"/>
                <w:bCs/>
                <w:sz w:val="24"/>
                <w:szCs w:val="20"/>
              </w:rPr>
              <w:t>Bản đánh giá TTHC, việc phân cấp, thực hiện nhiệm vụ, quyền hạn được phân cấp, việc ứng dụng, thúc đẩy phát triển khoa học, công nghệ, đổi mới sáng tạo và chuyển đổi số</w:t>
            </w:r>
            <w:r w:rsidR="009031A1">
              <w:rPr>
                <w:rFonts w:ascii="Times New Roman" w:hAnsi="Times New Roman" w:cs="Times New Roman"/>
                <w:bCs/>
                <w:sz w:val="24"/>
                <w:szCs w:val="20"/>
              </w:rPr>
              <w:t>.</w:t>
            </w:r>
          </w:p>
          <w:p w14:paraId="552103AE" w14:textId="577DEFAF" w:rsidR="008E3E85" w:rsidRDefault="008E3E85" w:rsidP="00C93FCE">
            <w:pPr>
              <w:widowControl w:val="0"/>
              <w:spacing w:before="60" w:after="0" w:line="240" w:lineRule="auto"/>
              <w:ind w:right="57"/>
              <w:jc w:val="both"/>
              <w:rPr>
                <w:rFonts w:ascii="Times New Roman" w:hAnsi="Times New Roman" w:cs="Times New Roman"/>
                <w:bCs/>
                <w:sz w:val="24"/>
                <w:szCs w:val="20"/>
              </w:rPr>
            </w:pPr>
            <w:r w:rsidRPr="00CC4A6B">
              <w:rPr>
                <w:rFonts w:ascii="Times New Roman" w:hAnsi="Times New Roman" w:cs="Times New Roman"/>
                <w:bCs/>
                <w:sz w:val="24"/>
                <w:szCs w:val="20"/>
              </w:rPr>
              <w:t>- Bản so sánh, thuyết minh dự thảo thông tư</w:t>
            </w:r>
            <w:r w:rsidR="009031A1">
              <w:rPr>
                <w:rFonts w:ascii="Times New Roman" w:hAnsi="Times New Roman" w:cs="Times New Roman"/>
                <w:bCs/>
                <w:sz w:val="24"/>
                <w:szCs w:val="20"/>
              </w:rPr>
              <w:t>.</w:t>
            </w:r>
          </w:p>
          <w:p w14:paraId="51FAA06B" w14:textId="246F8514" w:rsidR="006A5D7E" w:rsidRPr="00D4210D" w:rsidRDefault="009031A1" w:rsidP="00C93FCE">
            <w:pPr>
              <w:widowControl w:val="0"/>
              <w:spacing w:before="60" w:after="0" w:line="240" w:lineRule="auto"/>
              <w:ind w:right="57"/>
              <w:jc w:val="both"/>
              <w:rPr>
                <w:rFonts w:ascii="Times New Roman" w:hAnsi="Times New Roman" w:cs="Times New Roman"/>
                <w:b/>
                <w:sz w:val="24"/>
                <w:szCs w:val="20"/>
              </w:rPr>
            </w:pPr>
            <w:r>
              <w:rPr>
                <w:rFonts w:ascii="Times New Roman" w:hAnsi="Times New Roman" w:cs="Times New Roman"/>
                <w:bCs/>
                <w:sz w:val="24"/>
                <w:szCs w:val="20"/>
              </w:rPr>
              <w:t>2. Đối với b</w:t>
            </w:r>
            <w:r w:rsidRPr="00CC4A6B">
              <w:rPr>
                <w:rFonts w:ascii="Times New Roman" w:hAnsi="Times New Roman" w:cs="Times New Roman"/>
                <w:bCs/>
                <w:sz w:val="24"/>
                <w:szCs w:val="20"/>
              </w:rPr>
              <w:t>áo cáo đánh giá thực trạng quan hệ xã hội liên quan đến dự thảo văn bản</w:t>
            </w:r>
            <w:r>
              <w:rPr>
                <w:rFonts w:ascii="Times New Roman" w:hAnsi="Times New Roman" w:cs="Times New Roman"/>
                <w:bCs/>
                <w:sz w:val="24"/>
                <w:szCs w:val="20"/>
              </w:rPr>
              <w:t xml:space="preserve">, do Thông tư này ban hành theo nhiệm vụ giao từ Luật Đường sắt 2025, không phải là biện pháp thực hiện chức năng quản lý nhà nước của Bộ xây dựng </w:t>
            </w:r>
            <w:r w:rsidR="00D4210D">
              <w:rPr>
                <w:rFonts w:ascii="Times New Roman" w:hAnsi="Times New Roman" w:cs="Times New Roman"/>
                <w:bCs/>
                <w:sz w:val="24"/>
                <w:szCs w:val="20"/>
              </w:rPr>
              <w:t>hoặc phân cấp và thực hiện nhiệm vụ, quyền hạn được phân cấp. Do đó, theo quy định của Luật Ban hành văn bản quy phạm pháp luật, hồ sơ trình dự thảo Thông tư không bao gồm báo cáo này.</w:t>
            </w:r>
          </w:p>
        </w:tc>
      </w:tr>
      <w:tr w:rsidR="006A5D7E" w:rsidRPr="009921B1" w14:paraId="6BC44FB8" w14:textId="77777777" w:rsidTr="00C93FCE">
        <w:trPr>
          <w:gridAfter w:val="1"/>
          <w:wAfter w:w="8" w:type="pct"/>
          <w:trHeight w:val="20"/>
        </w:trPr>
        <w:tc>
          <w:tcPr>
            <w:tcW w:w="1188" w:type="pct"/>
            <w:shd w:val="clear" w:color="auto" w:fill="FFFFFF"/>
          </w:tcPr>
          <w:p w14:paraId="04A0EBB7" w14:textId="7055E065" w:rsidR="006A5D7E" w:rsidRPr="00D4210D" w:rsidRDefault="0028178F"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Về dự thảo Tờ trình </w:t>
            </w:r>
          </w:p>
        </w:tc>
        <w:tc>
          <w:tcPr>
            <w:tcW w:w="448" w:type="pct"/>
            <w:shd w:val="clear" w:color="auto" w:fill="FFFFFF"/>
          </w:tcPr>
          <w:p w14:paraId="2C7F7CA3" w14:textId="2ADB86A1" w:rsidR="006A5D7E" w:rsidRPr="00D4210D" w:rsidRDefault="00D4210D"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Vụ VT&amp;ATGT</w:t>
            </w:r>
          </w:p>
        </w:tc>
        <w:tc>
          <w:tcPr>
            <w:tcW w:w="1683" w:type="pct"/>
            <w:shd w:val="clear" w:color="auto" w:fill="FFFFFF"/>
          </w:tcPr>
          <w:p w14:paraId="0DEE49A1" w14:textId="2253D916" w:rsidR="006A5D7E" w:rsidRPr="00D4210D" w:rsidRDefault="00D4210D"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Đề nghị rà soát, hoàn thiện Tờ trình dự thảo Thông tư theo mẫu số 02 Phụ lục IV kèm theo Nghị định 178/2025/NĐ-CP</w:t>
            </w:r>
          </w:p>
        </w:tc>
        <w:tc>
          <w:tcPr>
            <w:tcW w:w="1673" w:type="pct"/>
            <w:shd w:val="clear" w:color="auto" w:fill="FFFFFF"/>
          </w:tcPr>
          <w:p w14:paraId="098B681A" w14:textId="728487DF" w:rsidR="00D4210D" w:rsidRPr="00D4210D" w:rsidRDefault="006A5D7E"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Về nội dung này</w:t>
            </w:r>
            <w:r w:rsidR="00D4210D" w:rsidRPr="00D4210D">
              <w:rPr>
                <w:rFonts w:ascii="Times New Roman" w:hAnsi="Times New Roman" w:cs="Times New Roman"/>
                <w:bCs/>
                <w:sz w:val="24"/>
                <w:szCs w:val="20"/>
              </w:rPr>
              <w:t xml:space="preserve"> cơ quan soạn thảo tiếp thu, hoàn thiện tờ trình.</w:t>
            </w:r>
          </w:p>
          <w:p w14:paraId="44257347" w14:textId="05BBF225" w:rsidR="006A5D7E" w:rsidRPr="00D4210D" w:rsidRDefault="006A5D7E" w:rsidP="00C93FCE">
            <w:pPr>
              <w:widowControl w:val="0"/>
              <w:spacing w:before="60" w:after="0" w:line="240" w:lineRule="auto"/>
              <w:ind w:left="57" w:right="57"/>
              <w:jc w:val="both"/>
              <w:rPr>
                <w:rFonts w:ascii="Times New Roman" w:hAnsi="Times New Roman" w:cs="Times New Roman"/>
                <w:bCs/>
                <w:sz w:val="24"/>
                <w:szCs w:val="20"/>
              </w:rPr>
            </w:pPr>
          </w:p>
        </w:tc>
      </w:tr>
      <w:tr w:rsidR="00D4210D" w:rsidRPr="009921B1" w14:paraId="6ADCF512" w14:textId="77777777" w:rsidTr="00C93FCE">
        <w:trPr>
          <w:gridAfter w:val="1"/>
          <w:wAfter w:w="8" w:type="pct"/>
          <w:trHeight w:val="20"/>
        </w:trPr>
        <w:tc>
          <w:tcPr>
            <w:tcW w:w="1188" w:type="pct"/>
            <w:shd w:val="clear" w:color="auto" w:fill="FFFFFF"/>
          </w:tcPr>
          <w:p w14:paraId="491CB3FA" w14:textId="32FB1A79" w:rsidR="00D4210D" w:rsidRPr="00B67B86" w:rsidRDefault="0028178F"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thể thức của dự thảo Thông tư</w:t>
            </w:r>
          </w:p>
        </w:tc>
        <w:tc>
          <w:tcPr>
            <w:tcW w:w="448" w:type="pct"/>
            <w:shd w:val="clear" w:color="auto" w:fill="FFFFFF"/>
          </w:tcPr>
          <w:p w14:paraId="6D3161B3" w14:textId="0F3E0E28" w:rsidR="00D4210D" w:rsidRPr="00B67B86" w:rsidRDefault="000542AE" w:rsidP="00C93FCE">
            <w:pPr>
              <w:widowControl w:val="0"/>
              <w:spacing w:before="60" w:after="0" w:line="240" w:lineRule="auto"/>
              <w:ind w:left="57" w:right="57"/>
              <w:jc w:val="both"/>
              <w:rPr>
                <w:rFonts w:ascii="Times New Roman" w:hAnsi="Times New Roman" w:cs="Times New Roman"/>
                <w:bCs/>
                <w:sz w:val="24"/>
                <w:szCs w:val="20"/>
              </w:rPr>
            </w:pPr>
            <w:r w:rsidRPr="00B67B86">
              <w:rPr>
                <w:rFonts w:ascii="Times New Roman" w:hAnsi="Times New Roman" w:cs="Times New Roman"/>
                <w:bCs/>
                <w:sz w:val="24"/>
                <w:szCs w:val="20"/>
              </w:rPr>
              <w:t xml:space="preserve">Vụ </w:t>
            </w:r>
            <w:r w:rsidR="006B7BE7" w:rsidRPr="00B67B86">
              <w:rPr>
                <w:rFonts w:ascii="Times New Roman" w:hAnsi="Times New Roman" w:cs="Times New Roman"/>
                <w:bCs/>
                <w:sz w:val="24"/>
                <w:szCs w:val="20"/>
              </w:rPr>
              <w:t>VT&amp;ATGT</w:t>
            </w:r>
          </w:p>
        </w:tc>
        <w:tc>
          <w:tcPr>
            <w:tcW w:w="1683" w:type="pct"/>
            <w:shd w:val="clear" w:color="auto" w:fill="FFFFFF"/>
          </w:tcPr>
          <w:p w14:paraId="1A7DEEBD" w14:textId="09116301" w:rsidR="00D4210D" w:rsidRPr="00B67B86" w:rsidRDefault="006B7BE7" w:rsidP="00C93FCE">
            <w:pPr>
              <w:widowControl w:val="0"/>
              <w:spacing w:before="60" w:after="0" w:line="240" w:lineRule="auto"/>
              <w:ind w:left="57" w:right="57"/>
              <w:jc w:val="both"/>
              <w:rPr>
                <w:rFonts w:ascii="Times New Roman" w:hAnsi="Times New Roman" w:cs="Times New Roman"/>
                <w:bCs/>
                <w:sz w:val="24"/>
                <w:szCs w:val="20"/>
              </w:rPr>
            </w:pPr>
            <w:r w:rsidRPr="00B67B86">
              <w:rPr>
                <w:rFonts w:ascii="Times New Roman" w:hAnsi="Times New Roman" w:cs="Times New Roman"/>
                <w:bCs/>
                <w:sz w:val="24"/>
                <w:szCs w:val="20"/>
              </w:rPr>
              <w:t>Đề nghị rà soát các lỗi đánh số thứ tự tại các các điều, khoản (VD: khoản 4 Điều 108 không có điểm c; khoản 1 Điều 111 không có điểm a…)</w:t>
            </w:r>
          </w:p>
        </w:tc>
        <w:tc>
          <w:tcPr>
            <w:tcW w:w="1673" w:type="pct"/>
            <w:shd w:val="clear" w:color="auto" w:fill="FFFFFF"/>
          </w:tcPr>
          <w:p w14:paraId="6C3C92E9" w14:textId="3F06B674" w:rsidR="00D4210D" w:rsidRPr="00B67B86" w:rsidRDefault="006B7BE7" w:rsidP="00C93FCE">
            <w:pPr>
              <w:widowControl w:val="0"/>
              <w:spacing w:before="60" w:after="0" w:line="240" w:lineRule="auto"/>
              <w:ind w:left="57" w:right="57"/>
              <w:jc w:val="both"/>
              <w:rPr>
                <w:rFonts w:ascii="Times New Roman" w:hAnsi="Times New Roman" w:cs="Times New Roman"/>
                <w:bCs/>
                <w:sz w:val="24"/>
                <w:szCs w:val="20"/>
              </w:rPr>
            </w:pPr>
            <w:r w:rsidRPr="00B67B86">
              <w:rPr>
                <w:rFonts w:ascii="Times New Roman" w:hAnsi="Times New Roman" w:cs="Times New Roman"/>
                <w:bCs/>
                <w:sz w:val="24"/>
                <w:szCs w:val="20"/>
              </w:rPr>
              <w:t>Về nội dung này cơ quan soạn thảo tiếp thu, rà soát và hiệu chỉnh các lỗi chính tả khi soạn thỏa để hoàn thiện dự thảo Thông tư.</w:t>
            </w:r>
          </w:p>
        </w:tc>
      </w:tr>
      <w:tr w:rsidR="00D4210D" w:rsidRPr="009921B1" w14:paraId="74736FF2" w14:textId="77777777" w:rsidTr="00C93FCE">
        <w:trPr>
          <w:gridAfter w:val="1"/>
          <w:wAfter w:w="8" w:type="pct"/>
          <w:trHeight w:val="20"/>
        </w:trPr>
        <w:tc>
          <w:tcPr>
            <w:tcW w:w="1188" w:type="pct"/>
            <w:shd w:val="clear" w:color="auto" w:fill="FFFFFF"/>
          </w:tcPr>
          <w:p w14:paraId="7DF8C5A1" w14:textId="4DC62323" w:rsidR="00D4210D" w:rsidRPr="00DA00E7" w:rsidRDefault="0028178F"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phạm vi điều chỉnh của Thông tư</w:t>
            </w:r>
          </w:p>
        </w:tc>
        <w:tc>
          <w:tcPr>
            <w:tcW w:w="448" w:type="pct"/>
            <w:shd w:val="clear" w:color="auto" w:fill="FFFFFF"/>
          </w:tcPr>
          <w:p w14:paraId="4BC2BEF4" w14:textId="287CD341" w:rsidR="00D4210D"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Ban QLDA ĐS</w:t>
            </w:r>
          </w:p>
        </w:tc>
        <w:tc>
          <w:tcPr>
            <w:tcW w:w="1683" w:type="pct"/>
            <w:shd w:val="clear" w:color="auto" w:fill="FFFFFF"/>
          </w:tcPr>
          <w:p w14:paraId="4D7F936A" w14:textId="77777777" w:rsidR="00DA00E7"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 xml:space="preserve">Về thủ tục bàn giao nhà ga mở mới: </w:t>
            </w:r>
          </w:p>
          <w:p w14:paraId="37D0E89B" w14:textId="391DACE8" w:rsidR="00DA00E7"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 Dự thảo chưa có quy định cụ thể về thủ tục bàn giao các công trình mới như nhà ga. Thực tế cho thấy công tác bàn giao này thường kéo dài, ảnh hưởng đến tiến độ đưa công trình vào khai thác.</w:t>
            </w:r>
          </w:p>
          <w:p w14:paraId="64785673" w14:textId="1D3A358E" w:rsidR="00DA00E7"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 Đề xuất:</w:t>
            </w:r>
          </w:p>
          <w:p w14:paraId="7799794D" w14:textId="77777777" w:rsidR="00DA00E7"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 Bổ sung một mục hoặc điều khoản chi tiết về "Thủ tục bàn giao công trình nhà ga xây dựng mới".</w:t>
            </w:r>
          </w:p>
          <w:p w14:paraId="09246E16" w14:textId="55CF8505" w:rsidR="00D4210D" w:rsidRPr="00DA00E7" w:rsidRDefault="00DA00E7" w:rsidP="00C93FCE">
            <w:pPr>
              <w:widowControl w:val="0"/>
              <w:spacing w:before="60" w:after="0" w:line="240" w:lineRule="auto"/>
              <w:ind w:left="57" w:right="57"/>
              <w:jc w:val="both"/>
              <w:rPr>
                <w:rFonts w:ascii="Times New Roman" w:hAnsi="Times New Roman" w:cs="Times New Roman"/>
                <w:bCs/>
                <w:sz w:val="24"/>
                <w:szCs w:val="20"/>
              </w:rPr>
            </w:pPr>
            <w:r w:rsidRPr="00DA00E7">
              <w:rPr>
                <w:rFonts w:ascii="Times New Roman" w:hAnsi="Times New Roman" w:cs="Times New Roman"/>
                <w:bCs/>
                <w:sz w:val="24"/>
                <w:szCs w:val="20"/>
              </w:rPr>
              <w:t>+ Phân định rõ trách nhiệm của các bên liên quan.</w:t>
            </w:r>
          </w:p>
        </w:tc>
        <w:tc>
          <w:tcPr>
            <w:tcW w:w="1673" w:type="pct"/>
            <w:shd w:val="clear" w:color="auto" w:fill="FFFFFF"/>
          </w:tcPr>
          <w:p w14:paraId="040390F0" w14:textId="77777777" w:rsidR="00D4210D" w:rsidRDefault="00DA00E7"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Về nội dung này cơ quan soạn thảo</w:t>
            </w:r>
            <w:r>
              <w:rPr>
                <w:rFonts w:ascii="Times New Roman" w:hAnsi="Times New Roman" w:cs="Times New Roman"/>
                <w:bCs/>
                <w:sz w:val="24"/>
                <w:szCs w:val="20"/>
              </w:rPr>
              <w:t xml:space="preserve"> giải trình như sau:</w:t>
            </w:r>
          </w:p>
          <w:p w14:paraId="62C61067" w14:textId="77777777" w:rsidR="00DA00E7" w:rsidRDefault="00DA00E7"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Thủ tục bàn giao ga mở mới vào khai thác </w:t>
            </w:r>
            <w:r w:rsidR="00961AA8">
              <w:rPr>
                <w:rFonts w:ascii="Times New Roman" w:hAnsi="Times New Roman" w:cs="Times New Roman"/>
                <w:bCs/>
                <w:sz w:val="24"/>
                <w:szCs w:val="20"/>
              </w:rPr>
              <w:t>không thuộc phạm vi điều chỉnh của Thông tư này.</w:t>
            </w:r>
          </w:p>
          <w:p w14:paraId="559FF47E" w14:textId="11D52C23" w:rsidR="00961AA8" w:rsidRPr="00DA00E7" w:rsidRDefault="00961AA8"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Các nội dung liên quan đến việc đ</w:t>
            </w:r>
            <w:r w:rsidRPr="00961AA8">
              <w:rPr>
                <w:rFonts w:ascii="Times New Roman" w:hAnsi="Times New Roman" w:cs="Times New Roman"/>
                <w:bCs/>
                <w:sz w:val="24"/>
                <w:szCs w:val="20"/>
              </w:rPr>
              <w:t>ưa tuyến đường sắt, ga đường sắt vào khai thác</w:t>
            </w:r>
            <w:r>
              <w:rPr>
                <w:rFonts w:ascii="Times New Roman" w:hAnsi="Times New Roman" w:cs="Times New Roman"/>
                <w:bCs/>
                <w:sz w:val="24"/>
                <w:szCs w:val="20"/>
              </w:rPr>
              <w:t xml:space="preserve"> đang được dự thảo tại </w:t>
            </w:r>
            <w:r w:rsidRPr="00961AA8">
              <w:rPr>
                <w:rFonts w:ascii="Times New Roman" w:hAnsi="Times New Roman" w:cs="Times New Roman"/>
                <w:bCs/>
                <w:sz w:val="24"/>
                <w:szCs w:val="20"/>
              </w:rPr>
              <w:t>Điều 6</w:t>
            </w:r>
            <w:r>
              <w:rPr>
                <w:rFonts w:ascii="Times New Roman" w:hAnsi="Times New Roman" w:cs="Times New Roman"/>
                <w:bCs/>
                <w:sz w:val="24"/>
                <w:szCs w:val="20"/>
              </w:rPr>
              <w:t xml:space="preserve"> Nghị định quy định chi tiết và hướng dẫn thi hành Luật Đường sắt. Các ý kiến góp ý của Ban QLDA ĐS sẽ được nghiên cứu, tiếp thu tại </w:t>
            </w:r>
            <w:r w:rsidR="00E7398D">
              <w:rPr>
                <w:rFonts w:ascii="Times New Roman" w:hAnsi="Times New Roman" w:cs="Times New Roman"/>
                <w:bCs/>
                <w:sz w:val="24"/>
                <w:szCs w:val="20"/>
              </w:rPr>
              <w:t>dự thảo Nghị định này.</w:t>
            </w:r>
          </w:p>
        </w:tc>
      </w:tr>
      <w:tr w:rsidR="000542AE" w:rsidRPr="009921B1" w14:paraId="7A49A8DB" w14:textId="77777777" w:rsidTr="00C93FCE">
        <w:trPr>
          <w:gridAfter w:val="1"/>
          <w:wAfter w:w="8" w:type="pct"/>
          <w:trHeight w:val="20"/>
        </w:trPr>
        <w:tc>
          <w:tcPr>
            <w:tcW w:w="1188" w:type="pct"/>
            <w:shd w:val="clear" w:color="auto" w:fill="FFFFFF"/>
          </w:tcPr>
          <w:p w14:paraId="1D65A11A" w14:textId="1E8719B0" w:rsidR="000542AE" w:rsidRPr="00D47C3C" w:rsidRDefault="0028178F"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phạm vi điều chỉnh của Thông tư</w:t>
            </w:r>
          </w:p>
        </w:tc>
        <w:tc>
          <w:tcPr>
            <w:tcW w:w="448" w:type="pct"/>
            <w:shd w:val="clear" w:color="auto" w:fill="FFFFFF"/>
          </w:tcPr>
          <w:p w14:paraId="5EE22787" w14:textId="28AA08ED" w:rsidR="000542AE"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Ban QLDA ĐS</w:t>
            </w:r>
          </w:p>
        </w:tc>
        <w:tc>
          <w:tcPr>
            <w:tcW w:w="1683" w:type="pct"/>
            <w:shd w:val="clear" w:color="auto" w:fill="FFFFFF"/>
          </w:tcPr>
          <w:p w14:paraId="587FECC3" w14:textId="106A1863" w:rsidR="00D468AB"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Về thủ tục bàn giao vật tư thu hồi từ các dự án nâng cấp, cải tạo:</w:t>
            </w:r>
          </w:p>
          <w:p w14:paraId="3EAAE11D" w14:textId="4AA987E2" w:rsidR="00D468AB"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 Dự thảo có đề cập đến việc xử lý tài sản và trông coi vật tư thu hồi, nhưng chưa có quy định chi tiết về thủ tục bàn giao các vật tư cũ (ray, tà vẹt, phụ kiện,...) tháo dỡ trong quá trình nâng cấp, cải tạo. Điều này gây khó khăn, vướng mắc về mặt pháp lý và thủ tục, kéo dài thời gian bàn giao giữa đơn vị thực hiện dự án và đơn vị tiếp nhận vật tư cũ thu hồi sau khi hoàn thành dự án.</w:t>
            </w:r>
          </w:p>
          <w:p w14:paraId="3C8ADB12" w14:textId="6A1C749A" w:rsidR="00D468AB"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 Đề xuất:</w:t>
            </w:r>
          </w:p>
          <w:p w14:paraId="36030A98" w14:textId="77777777" w:rsidR="00D468AB"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 Bổ sung một mục hoặc một điều khoản riêng, quy định chi tiết về thủ tục bàn giao vật tư thu hồi.</w:t>
            </w:r>
          </w:p>
          <w:p w14:paraId="2DBA46E1" w14:textId="77777777" w:rsidR="00D468AB"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 Quy định rõ hồ sơ bàn giao (biên bản kiểm kê, định giá, quyết định bàn giao,...), quy trình thực hiện từ tháo dỡ, lưu giữ, kiểm đếm đến khi bàn giao chính thức.</w:t>
            </w:r>
          </w:p>
          <w:p w14:paraId="25135204" w14:textId="5E3E0186" w:rsidR="000542AE" w:rsidRPr="00D47C3C" w:rsidRDefault="00D468AB" w:rsidP="00C93FCE">
            <w:pPr>
              <w:widowControl w:val="0"/>
              <w:spacing w:before="60" w:after="0" w:line="240" w:lineRule="auto"/>
              <w:ind w:left="57" w:right="57"/>
              <w:jc w:val="both"/>
              <w:rPr>
                <w:rFonts w:ascii="Times New Roman" w:hAnsi="Times New Roman" w:cs="Times New Roman"/>
                <w:bCs/>
                <w:sz w:val="24"/>
                <w:szCs w:val="20"/>
              </w:rPr>
            </w:pPr>
            <w:r w:rsidRPr="00D47C3C">
              <w:rPr>
                <w:rFonts w:ascii="Times New Roman" w:hAnsi="Times New Roman" w:cs="Times New Roman"/>
                <w:bCs/>
                <w:sz w:val="24"/>
                <w:szCs w:val="20"/>
              </w:rPr>
              <w:t>+ Phân định rõ trách nhiệm của các bên liên quan.</w:t>
            </w:r>
          </w:p>
        </w:tc>
        <w:tc>
          <w:tcPr>
            <w:tcW w:w="1673" w:type="pct"/>
            <w:shd w:val="clear" w:color="auto" w:fill="FFFFFF"/>
          </w:tcPr>
          <w:p w14:paraId="570CE4A4" w14:textId="77777777" w:rsidR="00BE1FD8" w:rsidRDefault="00BE1FD8"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Về nội dung này cơ quan soạn thảo</w:t>
            </w:r>
            <w:r>
              <w:rPr>
                <w:rFonts w:ascii="Times New Roman" w:hAnsi="Times New Roman" w:cs="Times New Roman"/>
                <w:bCs/>
                <w:sz w:val="24"/>
                <w:szCs w:val="20"/>
              </w:rPr>
              <w:t xml:space="preserve"> giải trình như sau:</w:t>
            </w:r>
          </w:p>
          <w:p w14:paraId="703B75AE" w14:textId="77777777" w:rsidR="000542AE" w:rsidRDefault="00BE1FD8"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Nội dung </w:t>
            </w:r>
            <w:r w:rsidRPr="00D47C3C">
              <w:rPr>
                <w:rFonts w:ascii="Times New Roman" w:hAnsi="Times New Roman" w:cs="Times New Roman"/>
                <w:bCs/>
                <w:sz w:val="24"/>
                <w:szCs w:val="20"/>
              </w:rPr>
              <w:t>quy định chi tiết về thủ tục bàn giao các vật tư cũ (ray, tà vẹt, phụ kiện,...) tháo dỡ trong quá trình nâng cấp, cải tạo</w:t>
            </w:r>
            <w:r>
              <w:rPr>
                <w:rFonts w:ascii="Times New Roman" w:hAnsi="Times New Roman" w:cs="Times New Roman"/>
                <w:bCs/>
                <w:sz w:val="24"/>
                <w:szCs w:val="20"/>
              </w:rPr>
              <w:t xml:space="preserve"> không thuộc phạm vi điều chỉnh của Thông tư này.</w:t>
            </w:r>
          </w:p>
          <w:p w14:paraId="713E3379" w14:textId="6BFAAFD6" w:rsidR="00BE1FD8" w:rsidRPr="00D47C3C" w:rsidRDefault="00BE1FD8"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Việc xử lý tài sản thu hồi từ dự án hiện thực hiện theo quy định của pháp luật về quản lý, sử dụng tài sản công </w:t>
            </w:r>
            <w:r w:rsidR="00030F72">
              <w:rPr>
                <w:rFonts w:ascii="Times New Roman" w:hAnsi="Times New Roman" w:cs="Times New Roman"/>
                <w:bCs/>
                <w:sz w:val="24"/>
                <w:szCs w:val="20"/>
              </w:rPr>
              <w:t>(Nghị định số 15/2025/NĐ-CP</w:t>
            </w:r>
            <w:r w:rsidR="00AE7F5B">
              <w:rPr>
                <w:rFonts w:ascii="Times New Roman" w:hAnsi="Times New Roman" w:cs="Times New Roman"/>
                <w:bCs/>
                <w:sz w:val="24"/>
                <w:szCs w:val="20"/>
              </w:rPr>
              <w:t xml:space="preserve"> ngày 03/02/2025 của Chính phủ</w:t>
            </w:r>
            <w:r w:rsidR="00030F72">
              <w:rPr>
                <w:rFonts w:ascii="Times New Roman" w:hAnsi="Times New Roman" w:cs="Times New Roman"/>
                <w:bCs/>
                <w:sz w:val="24"/>
                <w:szCs w:val="20"/>
              </w:rPr>
              <w:t>)</w:t>
            </w:r>
          </w:p>
        </w:tc>
      </w:tr>
    </w:tbl>
    <w:p w14:paraId="163DC91E" w14:textId="77777777" w:rsidR="006B7BE7" w:rsidRDefault="006B7BE7">
      <w:r>
        <w:br w:type="page"/>
      </w:r>
    </w:p>
    <w:tbl>
      <w:tblPr>
        <w:tblOverlap w:val="never"/>
        <w:tblW w:w="496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1"/>
        <w:gridCol w:w="1282"/>
        <w:gridCol w:w="4672"/>
        <w:gridCol w:w="5117"/>
      </w:tblGrid>
      <w:tr w:rsidR="00306602" w:rsidRPr="009921B1" w14:paraId="5E3FEE3E" w14:textId="77777777" w:rsidTr="00C93FCE">
        <w:trPr>
          <w:trHeight w:val="20"/>
          <w:tblHeader/>
        </w:trPr>
        <w:tc>
          <w:tcPr>
            <w:tcW w:w="1175" w:type="pct"/>
            <w:shd w:val="clear" w:color="auto" w:fill="FFFFFF"/>
            <w:vAlign w:val="center"/>
          </w:tcPr>
          <w:p w14:paraId="4E47E3EF" w14:textId="2C2E7139" w:rsidR="00306602" w:rsidRDefault="00306602" w:rsidP="00C93FCE">
            <w:pPr>
              <w:widowControl w:val="0"/>
              <w:spacing w:before="60" w:after="0" w:line="240" w:lineRule="auto"/>
              <w:ind w:left="57" w:right="57"/>
              <w:jc w:val="center"/>
              <w:rPr>
                <w:rFonts w:ascii="Times New Roman" w:hAnsi="Times New Roman" w:cs="Times New Roman"/>
                <w:bCs/>
                <w:sz w:val="24"/>
                <w:szCs w:val="20"/>
              </w:rPr>
            </w:pPr>
            <w:r w:rsidRPr="006A5D7E">
              <w:rPr>
                <w:rFonts w:ascii="Times New Roman" w:hAnsi="Times New Roman" w:cs="Times New Roman"/>
                <w:b/>
                <w:bCs/>
                <w:sz w:val="24"/>
                <w:szCs w:val="20"/>
              </w:rPr>
              <w:t>CHÍNH SÁCH HOẶC NHÓM VẤN ĐỀ, ĐIỀU, KHOẢN</w:t>
            </w:r>
          </w:p>
        </w:tc>
        <w:tc>
          <w:tcPr>
            <w:tcW w:w="443" w:type="pct"/>
            <w:shd w:val="clear" w:color="auto" w:fill="FFFFFF"/>
            <w:vAlign w:val="center"/>
          </w:tcPr>
          <w:p w14:paraId="37001F91" w14:textId="0CBA7020" w:rsidR="00306602" w:rsidRDefault="00306602" w:rsidP="00C93FCE">
            <w:pPr>
              <w:widowControl w:val="0"/>
              <w:spacing w:before="60" w:after="0" w:line="240" w:lineRule="auto"/>
              <w:ind w:left="57" w:right="57"/>
              <w:jc w:val="center"/>
              <w:rPr>
                <w:rFonts w:ascii="Times New Roman" w:hAnsi="Times New Roman" w:cs="Times New Roman"/>
                <w:bCs/>
                <w:sz w:val="24"/>
                <w:szCs w:val="20"/>
              </w:rPr>
            </w:pPr>
            <w:r w:rsidRPr="006A5D7E">
              <w:rPr>
                <w:rFonts w:ascii="Times New Roman" w:hAnsi="Times New Roman" w:cs="Times New Roman"/>
                <w:b/>
                <w:bCs/>
                <w:sz w:val="24"/>
                <w:szCs w:val="20"/>
              </w:rPr>
              <w:t>CHỦ THỂ GÓP Ý</w:t>
            </w:r>
          </w:p>
        </w:tc>
        <w:tc>
          <w:tcPr>
            <w:tcW w:w="1614" w:type="pct"/>
            <w:shd w:val="clear" w:color="auto" w:fill="FFFFFF"/>
            <w:vAlign w:val="center"/>
          </w:tcPr>
          <w:p w14:paraId="1AC7CC0E" w14:textId="676C3BFC" w:rsidR="00306602" w:rsidRPr="00B66742" w:rsidRDefault="00306602" w:rsidP="00C93FCE">
            <w:pPr>
              <w:widowControl w:val="0"/>
              <w:spacing w:before="60" w:after="0" w:line="240" w:lineRule="auto"/>
              <w:ind w:left="57" w:right="57"/>
              <w:jc w:val="center"/>
              <w:rPr>
                <w:rFonts w:ascii="Times New Roman" w:hAnsi="Times New Roman" w:cs="Times New Roman"/>
                <w:bCs/>
                <w:sz w:val="24"/>
                <w:szCs w:val="20"/>
              </w:rPr>
            </w:pPr>
            <w:r w:rsidRPr="006A5D7E">
              <w:rPr>
                <w:rFonts w:ascii="Times New Roman" w:hAnsi="Times New Roman" w:cs="Times New Roman"/>
                <w:b/>
                <w:bCs/>
                <w:sz w:val="24"/>
                <w:szCs w:val="20"/>
              </w:rPr>
              <w:t>NỘI DUNG GÓP Ý</w:t>
            </w:r>
          </w:p>
        </w:tc>
        <w:tc>
          <w:tcPr>
            <w:tcW w:w="1768" w:type="pct"/>
            <w:shd w:val="clear" w:color="auto" w:fill="FFFFFF"/>
            <w:vAlign w:val="center"/>
          </w:tcPr>
          <w:p w14:paraId="7DEBE869" w14:textId="3E4633E0" w:rsidR="00306602" w:rsidRDefault="00306602" w:rsidP="00C93FCE">
            <w:pPr>
              <w:widowControl w:val="0"/>
              <w:spacing w:before="60" w:after="0" w:line="240" w:lineRule="auto"/>
              <w:ind w:left="57" w:right="57"/>
              <w:jc w:val="center"/>
              <w:rPr>
                <w:rFonts w:ascii="Times New Roman" w:hAnsi="Times New Roman" w:cs="Times New Roman"/>
                <w:bCs/>
                <w:sz w:val="24"/>
                <w:szCs w:val="20"/>
              </w:rPr>
            </w:pPr>
            <w:r w:rsidRPr="006A5D7E">
              <w:rPr>
                <w:rFonts w:ascii="Times New Roman" w:hAnsi="Times New Roman" w:cs="Times New Roman"/>
                <w:b/>
                <w:bCs/>
                <w:sz w:val="24"/>
                <w:szCs w:val="20"/>
              </w:rPr>
              <w:t>NỘI DUNG TIẾP THU, GIẢI TRÌNH</w:t>
            </w:r>
          </w:p>
        </w:tc>
      </w:tr>
      <w:tr w:rsidR="00306602" w:rsidRPr="009921B1" w14:paraId="51D8EBA2" w14:textId="77777777" w:rsidTr="00C93FCE">
        <w:trPr>
          <w:trHeight w:val="20"/>
        </w:trPr>
        <w:tc>
          <w:tcPr>
            <w:tcW w:w="5000" w:type="pct"/>
            <w:gridSpan w:val="4"/>
            <w:shd w:val="clear" w:color="auto" w:fill="FFFFFF"/>
          </w:tcPr>
          <w:p w14:paraId="2A1DBC98" w14:textId="3FE760AD"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CC4A6B">
              <w:rPr>
                <w:rFonts w:ascii="Times New Roman" w:hAnsi="Times New Roman" w:cs="Times New Roman"/>
                <w:b/>
                <w:bCs/>
                <w:sz w:val="24"/>
                <w:szCs w:val="20"/>
              </w:rPr>
              <w:t>I</w:t>
            </w:r>
            <w:r>
              <w:rPr>
                <w:rFonts w:ascii="Times New Roman" w:hAnsi="Times New Roman" w:cs="Times New Roman"/>
                <w:b/>
                <w:bCs/>
                <w:sz w:val="24"/>
                <w:szCs w:val="20"/>
              </w:rPr>
              <w:t>I</w:t>
            </w:r>
            <w:r w:rsidRPr="00CC4A6B">
              <w:rPr>
                <w:rFonts w:ascii="Times New Roman" w:hAnsi="Times New Roman" w:cs="Times New Roman"/>
                <w:b/>
                <w:bCs/>
                <w:sz w:val="24"/>
                <w:szCs w:val="20"/>
              </w:rPr>
              <w:t xml:space="preserve">. Ý KIẾN </w:t>
            </w:r>
            <w:r>
              <w:rPr>
                <w:rFonts w:ascii="Times New Roman" w:hAnsi="Times New Roman" w:cs="Times New Roman"/>
                <w:b/>
                <w:bCs/>
                <w:sz w:val="24"/>
                <w:szCs w:val="20"/>
              </w:rPr>
              <w:t>CHI TIẾT TẠI CÁC ĐIỀU, KHOẢN</w:t>
            </w:r>
          </w:p>
        </w:tc>
      </w:tr>
      <w:tr w:rsidR="00306602" w:rsidRPr="009921B1" w14:paraId="64BB31AC" w14:textId="77777777" w:rsidTr="00C93FCE">
        <w:trPr>
          <w:trHeight w:val="20"/>
        </w:trPr>
        <w:tc>
          <w:tcPr>
            <w:tcW w:w="1175" w:type="pct"/>
            <w:shd w:val="clear" w:color="auto" w:fill="FFFFFF"/>
          </w:tcPr>
          <w:p w14:paraId="67DB0427"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Khoản 6 Điều 1 về phạm vi điều chỉnh của thông tư: </w:t>
            </w:r>
            <w:r w:rsidRPr="00B66742">
              <w:rPr>
                <w:rFonts w:ascii="Times New Roman" w:hAnsi="Times New Roman" w:cs="Times New Roman"/>
                <w:bCs/>
                <w:sz w:val="24"/>
                <w:szCs w:val="20"/>
              </w:rPr>
              <w:t>Thông tư này quy định chi tiết một số điều của Luật Đường sắt, bao gồm:</w:t>
            </w:r>
          </w:p>
          <w:p w14:paraId="438C7CBB" w14:textId="3B3A8899" w:rsidR="00306602" w:rsidRPr="00B66742"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B66742">
              <w:rPr>
                <w:rFonts w:ascii="Times New Roman" w:hAnsi="Times New Roman" w:cs="Times New Roman"/>
                <w:bCs/>
                <w:i/>
                <w:iCs/>
                <w:sz w:val="24"/>
                <w:szCs w:val="20"/>
              </w:rPr>
              <w:t>“6. Khoản 7 Điều 46 về giá, phụ thu ngoài giá dịch vụ điều hành giao thông vận tải đường sắt”</w:t>
            </w:r>
          </w:p>
        </w:tc>
        <w:tc>
          <w:tcPr>
            <w:tcW w:w="443" w:type="pct"/>
            <w:shd w:val="clear" w:color="auto" w:fill="FFFFFF"/>
          </w:tcPr>
          <w:p w14:paraId="7F99EA0C" w14:textId="6FD5D02E"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4EB4BF93" w14:textId="3B34A1E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B66742">
              <w:rPr>
                <w:rFonts w:ascii="Times New Roman" w:hAnsi="Times New Roman" w:cs="Times New Roman"/>
                <w:bCs/>
                <w:sz w:val="24"/>
                <w:szCs w:val="20"/>
              </w:rPr>
              <w:t>Nội dung này cần xem xét, tham chiếu với Luật Giá số 16/2023/QH15, đảm bảo tính đồng bộ pháp lý tránh chồng chéo về thẩm quyền định giá giữa Bộ Xây dựng và Bộ Tài chính.</w:t>
            </w:r>
          </w:p>
        </w:tc>
        <w:tc>
          <w:tcPr>
            <w:tcW w:w="1768" w:type="pct"/>
            <w:shd w:val="clear" w:color="auto" w:fill="FFFFFF"/>
          </w:tcPr>
          <w:p w14:paraId="777680B4"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Về nội dung này, cơ quan soạn thảo giải trình như sau: </w:t>
            </w:r>
          </w:p>
          <w:p w14:paraId="1E02F5E6"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Pháp luật về giá chỉ quy định giá dịch vụ điều hành giao thông vận tải đường sắt do nhà nước đầu tư.</w:t>
            </w:r>
          </w:p>
          <w:p w14:paraId="072655EE" w14:textId="3DFE678D"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2. Phạm vi điều chỉnh của Thông tư này quy định chi tiết khoản 7 Điều 46 Luật ĐS 2025 là phù hợp với quy định của Luật Ban hành văn bản QPPL.</w:t>
            </w:r>
          </w:p>
        </w:tc>
      </w:tr>
      <w:tr w:rsidR="00306602" w:rsidRPr="009921B1" w14:paraId="4118C680" w14:textId="77777777" w:rsidTr="00C93FCE">
        <w:trPr>
          <w:trHeight w:val="20"/>
        </w:trPr>
        <w:tc>
          <w:tcPr>
            <w:tcW w:w="1175" w:type="pct"/>
            <w:shd w:val="clear" w:color="auto" w:fill="FFFFFF"/>
          </w:tcPr>
          <w:p w14:paraId="04472569"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1 Điều 3</w:t>
            </w:r>
          </w:p>
          <w:p w14:paraId="6AA226F5" w14:textId="5E6A971D" w:rsidR="00306602" w:rsidRPr="00A72B08"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72B08">
              <w:rPr>
                <w:rFonts w:ascii="Times New Roman" w:hAnsi="Times New Roman" w:cs="Times New Roman"/>
                <w:bCs/>
                <w:i/>
                <w:iCs/>
                <w:sz w:val="24"/>
                <w:szCs w:val="20"/>
              </w:rPr>
              <w:t>“Kết nối ray các tuyến đường sắt là việc kết nối đường ray, hệ thống thông tin, tín hiệu phục vụ điều hành giao thông vận tải đường sắt, hệ thống điện sức kéo giữa tuyến đường sắt địa phương, đường sắt chuyên dùng với đường sắt quốc gia hoặc giữa các tuyến đường sắt địa phương với nhau để các đoàn tàu có thể chạy từ tuyến này sang tuyến khác và ngược lại.”</w:t>
            </w:r>
          </w:p>
        </w:tc>
        <w:tc>
          <w:tcPr>
            <w:tcW w:w="443" w:type="pct"/>
            <w:shd w:val="clear" w:color="auto" w:fill="FFFFFF"/>
          </w:tcPr>
          <w:p w14:paraId="69BD76BE" w14:textId="0634B1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24814CE3" w14:textId="2E88E511" w:rsidR="00306602" w:rsidRPr="003A5CF1" w:rsidRDefault="00306602" w:rsidP="00C93FCE">
            <w:pPr>
              <w:widowControl w:val="0"/>
              <w:spacing w:before="60" w:after="0" w:line="240" w:lineRule="auto"/>
              <w:ind w:left="57" w:right="57"/>
              <w:jc w:val="both"/>
              <w:rPr>
                <w:rFonts w:ascii="Times New Roman" w:hAnsi="Times New Roman" w:cs="Times New Roman"/>
                <w:bCs/>
                <w:sz w:val="24"/>
                <w:szCs w:val="20"/>
              </w:rPr>
            </w:pPr>
            <w:r w:rsidRPr="00A72B08">
              <w:rPr>
                <w:rFonts w:ascii="Times New Roman" w:hAnsi="Times New Roman" w:cs="Times New Roman"/>
                <w:bCs/>
                <w:sz w:val="24"/>
                <w:szCs w:val="20"/>
              </w:rPr>
              <w:t>Các thuật ngữ liên quan đến kết nối kỹ thuật: “kết nối hệ thống cấp điện sức kéo đường sắt”. Đề nghị bổ sung từ nếu có vào cuối “kết nối hệ thống cấp điện sức kéo đường sắt (nếu có)”. Đường sắt quốc gia khổ 1m hiện nay không có hệ thống cấp điện sức kéo.</w:t>
            </w:r>
          </w:p>
        </w:tc>
        <w:tc>
          <w:tcPr>
            <w:tcW w:w="1768" w:type="pct"/>
            <w:shd w:val="clear" w:color="auto" w:fill="FFFFFF"/>
          </w:tcPr>
          <w:p w14:paraId="0F6F6F98" w14:textId="63B9F39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tiếp thu, chỉnh lý dự thảo.</w:t>
            </w:r>
          </w:p>
        </w:tc>
      </w:tr>
      <w:tr w:rsidR="00306602" w:rsidRPr="009921B1" w14:paraId="59F40B84" w14:textId="77777777" w:rsidTr="00C93FCE">
        <w:trPr>
          <w:trHeight w:val="20"/>
        </w:trPr>
        <w:tc>
          <w:tcPr>
            <w:tcW w:w="1175" w:type="pct"/>
            <w:shd w:val="clear" w:color="auto" w:fill="FFFFFF"/>
          </w:tcPr>
          <w:p w14:paraId="377AC94F"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10 Điều 3</w:t>
            </w:r>
          </w:p>
          <w:p w14:paraId="4B92C615" w14:textId="02842F39" w:rsidR="00306602" w:rsidRPr="003A5CF1"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3A5CF1">
              <w:rPr>
                <w:rFonts w:ascii="Times New Roman" w:hAnsi="Times New Roman" w:cs="Times New Roman"/>
                <w:bCs/>
                <w:i/>
                <w:iCs/>
                <w:sz w:val="24"/>
                <w:szCs w:val="20"/>
              </w:rPr>
              <w:t>“10. Chắn đường ngang là cần chắn, giàn chắn được xây dựng, lắp đặt trong phạm vi đường ngang với mục đích ngăn người, phương tiện và các vật thể khác đi qua đường sắt trong một khoảng thời gian nhất định”</w:t>
            </w:r>
          </w:p>
        </w:tc>
        <w:tc>
          <w:tcPr>
            <w:tcW w:w="443" w:type="pct"/>
            <w:shd w:val="clear" w:color="auto" w:fill="FFFFFF"/>
          </w:tcPr>
          <w:p w14:paraId="58C5F21D" w14:textId="066593FC"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3CE61E3F" w14:textId="373D294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3A5CF1">
              <w:rPr>
                <w:rFonts w:ascii="Times New Roman" w:hAnsi="Times New Roman" w:cs="Times New Roman"/>
                <w:bCs/>
                <w:sz w:val="24"/>
                <w:szCs w:val="20"/>
              </w:rPr>
              <w:t>Chắn đường ngang nên viết chung là hệ thống rào chắn được xây dựng, lắp đặt trong phạm vi đường ngang với mục đích ngăn chặn người, phương tiện và các vật thể khác đi qua đường sắt trong một khoảng thời gian nhất định.</w:t>
            </w:r>
          </w:p>
        </w:tc>
        <w:tc>
          <w:tcPr>
            <w:tcW w:w="1768" w:type="pct"/>
            <w:shd w:val="clear" w:color="auto" w:fill="FFFFFF"/>
          </w:tcPr>
          <w:p w14:paraId="2BB0439B"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7A3E63AD" w14:textId="3A9F346D"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Khái niệm này là thuật ngữ đường sắt đã được sử dụng ổn định từ năm 2018 (Thông tư 25/2018/TT-BGTVT). Định nghĩa này ngoài việc chỉ dẫn cho nội dung quy định trong thông tư có liên quan đến chắn đường ngang còn mang ý nghĩa trong việc sử dụng tiêu chuẩn, quy chuẩn áp dụng cho cần chắn, giàn chắn.</w:t>
            </w:r>
          </w:p>
          <w:p w14:paraId="63233D50" w14:textId="0B3EFE1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2. Nếu </w:t>
            </w:r>
            <w:r w:rsidRPr="003A5CF1">
              <w:rPr>
                <w:rFonts w:ascii="Times New Roman" w:hAnsi="Times New Roman" w:cs="Times New Roman"/>
                <w:bCs/>
                <w:sz w:val="24"/>
                <w:szCs w:val="20"/>
              </w:rPr>
              <w:t>viết chung là hệ thống rào chắn</w:t>
            </w:r>
            <w:r>
              <w:rPr>
                <w:rFonts w:ascii="Times New Roman" w:hAnsi="Times New Roman" w:cs="Times New Roman"/>
                <w:bCs/>
                <w:sz w:val="24"/>
                <w:szCs w:val="20"/>
              </w:rPr>
              <w:t xml:space="preserve"> thì sẽ dễ nhầm lẫn sang hạng mục hàng rào chắn cố định tại đường ngang có người gác.</w:t>
            </w:r>
          </w:p>
        </w:tc>
      </w:tr>
      <w:tr w:rsidR="00306602" w:rsidRPr="009921B1" w14:paraId="037995F4" w14:textId="77777777" w:rsidTr="00C93FCE">
        <w:trPr>
          <w:trHeight w:val="20"/>
        </w:trPr>
        <w:tc>
          <w:tcPr>
            <w:tcW w:w="1175" w:type="pct"/>
            <w:shd w:val="clear" w:color="auto" w:fill="FFFFFF"/>
          </w:tcPr>
          <w:p w14:paraId="0F36FF40" w14:textId="2A3F2286"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34 Điều 3</w:t>
            </w:r>
          </w:p>
          <w:p w14:paraId="5F5ED51C" w14:textId="33DFBBE9" w:rsidR="00306602" w:rsidRPr="009D5C9F"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9D5C9F">
              <w:rPr>
                <w:rFonts w:ascii="Times New Roman" w:hAnsi="Times New Roman" w:cs="Times New Roman"/>
                <w:bCs/>
                <w:i/>
                <w:iCs/>
                <w:sz w:val="24"/>
                <w:szCs w:val="20"/>
              </w:rPr>
              <w:t>“</w:t>
            </w:r>
            <w:r w:rsidRPr="002F0DFB">
              <w:rPr>
                <w:rFonts w:ascii="Times New Roman" w:hAnsi="Times New Roman" w:cs="Times New Roman"/>
                <w:bCs/>
                <w:i/>
                <w:iCs/>
                <w:sz w:val="24"/>
                <w:szCs w:val="20"/>
              </w:rPr>
              <w:t>Đánh giá, chứng nhận an toàn hệ thống là việc đánh giá độc lập về an toàn hệ thống đối với các hạng mục công việc thực hiện và xác nhận tuyến đường sắt bảo đảm an toàn vận hành.</w:t>
            </w:r>
            <w:r w:rsidRPr="009D5C9F">
              <w:rPr>
                <w:rFonts w:ascii="Times New Roman" w:hAnsi="Times New Roman" w:cs="Times New Roman"/>
                <w:bCs/>
                <w:i/>
                <w:iCs/>
                <w:sz w:val="24"/>
                <w:szCs w:val="20"/>
              </w:rPr>
              <w:t>”</w:t>
            </w:r>
          </w:p>
        </w:tc>
        <w:tc>
          <w:tcPr>
            <w:tcW w:w="443" w:type="pct"/>
            <w:shd w:val="clear" w:color="auto" w:fill="FFFFFF"/>
          </w:tcPr>
          <w:p w14:paraId="54228523" w14:textId="616E5931"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4B5A741E" w14:textId="10EDB3AB"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538BD">
              <w:rPr>
                <w:rFonts w:ascii="Times New Roman" w:hAnsi="Times New Roman" w:cs="Times New Roman"/>
                <w:bCs/>
                <w:sz w:val="24"/>
                <w:szCs w:val="20"/>
              </w:rPr>
              <w:t>Đề nghị xem xét, bổ sung: Đánh giá, chứng nhận an toàn hệ thống là việc đánh giá độc lập về an toàn hệ thống đối với toàn bộ các hạng mục công việc xây dựng của dự án đầu tư xây dựng tuyến đường sắt mới theo đề cương nhiệm vụ đánh giá, chứng nhận an toàn hệ thống được phê duyệt để và xác nhận tuyến đường sắt đảm bảo an toàn vận hành.</w:t>
            </w:r>
          </w:p>
        </w:tc>
        <w:tc>
          <w:tcPr>
            <w:tcW w:w="1768" w:type="pct"/>
            <w:shd w:val="clear" w:color="auto" w:fill="FFFFFF"/>
          </w:tcPr>
          <w:p w14:paraId="5B2BC0C4"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4B14A07" w14:textId="101C4E8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1. Việc </w:t>
            </w:r>
            <w:r w:rsidRPr="002538BD">
              <w:rPr>
                <w:rFonts w:ascii="Times New Roman" w:hAnsi="Times New Roman" w:cs="Times New Roman"/>
                <w:bCs/>
                <w:sz w:val="24"/>
                <w:szCs w:val="20"/>
              </w:rPr>
              <w:t>đánh giá an toàn hệ thống đối với toàn bộ các hạng mục công việc xây dựng của dự án đầu tư xây dựng tuyến đường sắt</w:t>
            </w:r>
            <w:r>
              <w:rPr>
                <w:rFonts w:ascii="Times New Roman" w:hAnsi="Times New Roman" w:cs="Times New Roman"/>
                <w:bCs/>
                <w:sz w:val="24"/>
                <w:szCs w:val="20"/>
              </w:rPr>
              <w:t xml:space="preserve"> là không khả thi và không phù hợp với các tiêu chuẩn quốc tế hiện nay.</w:t>
            </w:r>
          </w:p>
          <w:p w14:paraId="68258C05" w14:textId="1A7AD979"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2. Cách tiếp cận đánh giá an toàn hệ thống như dự thảo đã được kế thừa từ Thông tư 31/2018/TT-BGTVT được sửa đổi, bổ sung tại Thông tư số </w:t>
            </w:r>
            <w:r w:rsidRPr="00B64C2C">
              <w:rPr>
                <w:rFonts w:ascii="Times New Roman" w:hAnsi="Times New Roman" w:cs="Times New Roman"/>
                <w:bCs/>
                <w:sz w:val="24"/>
                <w:szCs w:val="20"/>
              </w:rPr>
              <w:t>32/2020/TT-BGTVT, Thông tư số 14/2021/TT-BGTVT</w:t>
            </w:r>
            <w:r>
              <w:rPr>
                <w:rFonts w:ascii="Times New Roman" w:hAnsi="Times New Roman" w:cs="Times New Roman"/>
                <w:bCs/>
                <w:sz w:val="24"/>
                <w:szCs w:val="20"/>
              </w:rPr>
              <w:t xml:space="preserve"> để bảo đảm tính khả thi, phù hợp với tiêu chuẩn và thông lệ quốc tế đã và đang thực hiện. Việc đánh giá chỉ áp dụng đối với các hệ thống gồm:</w:t>
            </w:r>
            <w:r>
              <w:t xml:space="preserve"> </w:t>
            </w:r>
            <w:r w:rsidRPr="0053409A">
              <w:rPr>
                <w:rFonts w:ascii="Times New Roman" w:hAnsi="Times New Roman" w:cs="Times New Roman"/>
                <w:bCs/>
                <w:sz w:val="24"/>
                <w:szCs w:val="20"/>
              </w:rPr>
              <w:t>toa xe đường sắt (không bao gồm các phương tiện chuyên dùng phục vụ thi công, duy tu bảo trì đường sắt); hệ thống thông tin - tín hiệu điều khiển chạy tàu; hệ thống cung cấp điện sức kéo; cửa chắn ke ga (nếu có)</w:t>
            </w:r>
            <w:r>
              <w:rPr>
                <w:rFonts w:ascii="Times New Roman" w:hAnsi="Times New Roman" w:cs="Times New Roman"/>
                <w:bCs/>
                <w:sz w:val="24"/>
                <w:szCs w:val="20"/>
              </w:rPr>
              <w:t>.</w:t>
            </w:r>
          </w:p>
        </w:tc>
      </w:tr>
      <w:tr w:rsidR="00306602" w:rsidRPr="009921B1" w14:paraId="2C97528D" w14:textId="77777777" w:rsidTr="00C93FCE">
        <w:trPr>
          <w:trHeight w:val="20"/>
        </w:trPr>
        <w:tc>
          <w:tcPr>
            <w:tcW w:w="1175" w:type="pct"/>
            <w:shd w:val="clear" w:color="auto" w:fill="FFFFFF"/>
          </w:tcPr>
          <w:p w14:paraId="2268AB10"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35 Điều 3:</w:t>
            </w:r>
          </w:p>
          <w:p w14:paraId="12BA20E1" w14:textId="0FA4B714" w:rsidR="00306602" w:rsidRPr="00DC53E7"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DC53E7">
              <w:rPr>
                <w:rFonts w:ascii="Times New Roman" w:hAnsi="Times New Roman" w:cs="Times New Roman"/>
                <w:bCs/>
                <w:i/>
                <w:iCs/>
                <w:sz w:val="24"/>
                <w:szCs w:val="20"/>
              </w:rPr>
              <w:t>“Đề cương nhiệm vụ đánh giá, chứng nhận an toàn hệ thống (sau đây gọi tắt là Đề cương đánh giá, chứng nhận) là tài liệu do Tổ chức chứng nhận xây dựng theo yêu cầu của Chủ đầu tư dự án để mô tả các nội dung liên quan đến công việc đánh giá, chứng nhận an toàn hệ thống.”</w:t>
            </w:r>
          </w:p>
        </w:tc>
        <w:tc>
          <w:tcPr>
            <w:tcW w:w="443" w:type="pct"/>
            <w:shd w:val="clear" w:color="auto" w:fill="FFFFFF"/>
          </w:tcPr>
          <w:p w14:paraId="098C07D9" w14:textId="74382116"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5C15B478" w14:textId="706C32E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FE7A0B">
              <w:rPr>
                <w:rFonts w:ascii="Times New Roman" w:hAnsi="Times New Roman" w:cs="Times New Roman"/>
                <w:bCs/>
                <w:sz w:val="24"/>
                <w:szCs w:val="20"/>
              </w:rPr>
              <w:t>Đề nghị làm rõ đề cương này do Tư vấn lập hay Chủ đầu tư vì đề cương nhiệm vụ được xác định ở bước nhiệm vụ, dự toán và yêu cầu trong lập hồ sơ mời thầu do Chủ đầu tư thực hiện.</w:t>
            </w:r>
          </w:p>
        </w:tc>
        <w:tc>
          <w:tcPr>
            <w:tcW w:w="1768" w:type="pct"/>
            <w:shd w:val="clear" w:color="auto" w:fill="FFFFFF"/>
          </w:tcPr>
          <w:p w14:paraId="0B1DBA5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479E1BD6"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Đề cương này do Tư vấn lập, chủ đầu tư phê duyệt theo quy định tại khoản 3 Điều 102 của dự thảo Thông tư.</w:t>
            </w:r>
          </w:p>
          <w:p w14:paraId="47B958FA" w14:textId="6B071132"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2. Ở bước lập nhiệm vụ, dự toán, chủ đầu tư thực hiện lập đề cương – dự toán gói thầu theo quy định của pháp luật về xây dựng. Nội dung này đã được quy định tại khoản 1 Điều 105 của dự thảo Thông tư: </w:t>
            </w:r>
            <w:r w:rsidRPr="005D5819">
              <w:rPr>
                <w:rFonts w:ascii="Times New Roman" w:hAnsi="Times New Roman" w:cs="Times New Roman"/>
                <w:bCs/>
                <w:i/>
                <w:iCs/>
                <w:sz w:val="24"/>
                <w:szCs w:val="20"/>
              </w:rPr>
              <w:t>“1. Chủ đầu tư dự án xây dựng các quy định kỹ thuật của gói thầu đánh giá, chứng nhận an toàn hệ thống theo quy định của pháp luật về đấu thầu.”</w:t>
            </w:r>
          </w:p>
        </w:tc>
      </w:tr>
      <w:tr w:rsidR="00306602" w:rsidRPr="009921B1" w14:paraId="0EE91465" w14:textId="77777777" w:rsidTr="00C93FCE">
        <w:trPr>
          <w:trHeight w:val="20"/>
        </w:trPr>
        <w:tc>
          <w:tcPr>
            <w:tcW w:w="1175" w:type="pct"/>
            <w:shd w:val="clear" w:color="auto" w:fill="FFFFFF"/>
          </w:tcPr>
          <w:p w14:paraId="2E566B7A"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36 Điều 3:</w:t>
            </w:r>
          </w:p>
          <w:p w14:paraId="30F5A7B4" w14:textId="32764FF1" w:rsidR="00306602" w:rsidRPr="009D5CCD" w:rsidRDefault="00306602" w:rsidP="00C93FCE">
            <w:pPr>
              <w:widowControl w:val="0"/>
              <w:spacing w:before="60" w:after="0" w:line="240" w:lineRule="auto"/>
              <w:ind w:left="57" w:right="57"/>
              <w:jc w:val="both"/>
              <w:rPr>
                <w:rFonts w:ascii="Times New Roman" w:hAnsi="Times New Roman" w:cs="Times New Roman"/>
                <w:bCs/>
                <w:i/>
                <w:iCs/>
                <w:sz w:val="24"/>
                <w:szCs w:val="24"/>
              </w:rPr>
            </w:pPr>
            <w:r w:rsidRPr="009D5CCD">
              <w:rPr>
                <w:rFonts w:ascii="Times New Roman" w:hAnsi="Times New Roman" w:cs="Times New Roman"/>
                <w:bCs/>
                <w:i/>
                <w:iCs/>
                <w:sz w:val="24"/>
                <w:szCs w:val="24"/>
              </w:rPr>
              <w:t>“</w:t>
            </w:r>
            <w:r w:rsidRPr="009D5CCD">
              <w:rPr>
                <w:rFonts w:ascii="Times New Roman" w:hAnsi="Times New Roman" w:cs="Times New Roman"/>
                <w:i/>
                <w:iCs/>
                <w:sz w:val="24"/>
                <w:szCs w:val="24"/>
              </w:rPr>
              <w:t>Giấy chứng nhận an toàn hệ thống là chứng chỉ của Tổ chức chứng nhận xác nhận tuyến đường sắt được thiết kế, xây dựng phù hợp với tiêu chuẩn quản lý an toàn và đủ điều kiện an toàn vận hành.</w:t>
            </w:r>
            <w:r w:rsidRPr="009D5CCD">
              <w:rPr>
                <w:rFonts w:ascii="Times New Roman" w:hAnsi="Times New Roman" w:cs="Times New Roman"/>
                <w:bCs/>
                <w:i/>
                <w:iCs/>
                <w:sz w:val="24"/>
                <w:szCs w:val="24"/>
              </w:rPr>
              <w:t>”</w:t>
            </w:r>
          </w:p>
        </w:tc>
        <w:tc>
          <w:tcPr>
            <w:tcW w:w="443" w:type="pct"/>
            <w:shd w:val="clear" w:color="auto" w:fill="FFFFFF"/>
          </w:tcPr>
          <w:p w14:paraId="5B2F643A" w14:textId="285A4DEB"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42F56C47" w14:textId="6E811D89" w:rsidR="00306602" w:rsidRPr="009D5CCD" w:rsidRDefault="00306602" w:rsidP="00C93FCE">
            <w:pPr>
              <w:widowControl w:val="0"/>
              <w:spacing w:before="60" w:after="0" w:line="240" w:lineRule="auto"/>
              <w:ind w:left="57" w:right="57"/>
              <w:jc w:val="both"/>
              <w:rPr>
                <w:rFonts w:ascii="Times New Roman" w:hAnsi="Times New Roman" w:cs="Times New Roman"/>
                <w:bCs/>
                <w:sz w:val="24"/>
                <w:szCs w:val="20"/>
              </w:rPr>
            </w:pPr>
            <w:r w:rsidRPr="009D5CCD">
              <w:rPr>
                <w:rFonts w:ascii="Times New Roman" w:hAnsi="Times New Roman" w:cs="Times New Roman"/>
                <w:bCs/>
                <w:sz w:val="24"/>
                <w:szCs w:val="20"/>
              </w:rPr>
              <w:t xml:space="preserve">Mục này đang thiếu cho các tuyến đường sắt tốc độ cao, đường sắt cấp I và cần làm rõ dự án được thiết kế, xây dựng phù hợp với tiêu chuẩn quản lý an toàn là gì, tiêu chuẩn này do ai ban hành và có nằm trong khung tiêu chuẩn của dự án không. Đồng thời đề nghị rà soát cho phù hợp với quy định tại Điều 103 (Chủ yếu chỉ đánh giá cho hệ thống phương tiện, thiết bị, vận hành khai thác, không đánh giá cho phù hợp </w:t>
            </w:r>
            <w:r>
              <w:rPr>
                <w:rFonts w:ascii="Times New Roman" w:hAnsi="Times New Roman" w:cs="Times New Roman"/>
                <w:bCs/>
                <w:sz w:val="24"/>
                <w:szCs w:val="20"/>
              </w:rPr>
              <w:t>p</w:t>
            </w:r>
            <w:r w:rsidRPr="009D5CCD">
              <w:rPr>
                <w:rFonts w:ascii="Times New Roman" w:hAnsi="Times New Roman" w:cs="Times New Roman"/>
                <w:bCs/>
                <w:sz w:val="24"/>
                <w:szCs w:val="20"/>
              </w:rPr>
              <w:t>ần công trình) và điều 104, 105.</w:t>
            </w:r>
          </w:p>
          <w:p w14:paraId="4424FBFB" w14:textId="5C47AFA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9D5CCD">
              <w:rPr>
                <w:rFonts w:ascii="Times New Roman" w:hAnsi="Times New Roman" w:cs="Times New Roman"/>
                <w:bCs/>
                <w:sz w:val="24"/>
                <w:szCs w:val="20"/>
              </w:rPr>
              <w:t>Đề nghị bổ sung quy định các hồ sơ, tài liệu phải chuẩn bị (đặc biệt là các hồ sơ liên quan đến RAMS) ở các bước thiết kế, lựa chọn vật liệu, thi công, lắp đặt…)  để tránh việc khi thực hiện đánh giá thiếu hồ sơ, tài liệu sẽ phát sinh tranh chấp, kéo dài tiến độ thực hiện dự án (như trường hợp dự án Đường sắt Cát Linh - Hà Đông)</w:t>
            </w:r>
          </w:p>
        </w:tc>
        <w:tc>
          <w:tcPr>
            <w:tcW w:w="1768" w:type="pct"/>
            <w:shd w:val="clear" w:color="auto" w:fill="FFFFFF"/>
          </w:tcPr>
          <w:p w14:paraId="0A91445C" w14:textId="6F6C5BC5"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tiếp thu, giải trình như sau:</w:t>
            </w:r>
          </w:p>
          <w:p w14:paraId="256AC434"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1. Bổ sung nội dung giấy chứng nhận an toàn hệ thống cho </w:t>
            </w:r>
            <w:r w:rsidRPr="009D5CCD">
              <w:rPr>
                <w:rFonts w:ascii="Times New Roman" w:hAnsi="Times New Roman" w:cs="Times New Roman"/>
                <w:bCs/>
                <w:sz w:val="24"/>
                <w:szCs w:val="20"/>
              </w:rPr>
              <w:t>tuyến đường sắt tốc độ cao, đường sắt cấp I</w:t>
            </w:r>
            <w:r>
              <w:rPr>
                <w:rFonts w:ascii="Times New Roman" w:hAnsi="Times New Roman" w:cs="Times New Roman"/>
                <w:bCs/>
                <w:sz w:val="24"/>
                <w:szCs w:val="20"/>
              </w:rPr>
              <w:t xml:space="preserve"> và đường sắt đô thị.</w:t>
            </w:r>
          </w:p>
          <w:p w14:paraId="4A825C71"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2. Về danh mục tiêu chuẩn áp dụng: Các tiêu chuẩn áp dụng để đánh giá, chứng nhận an toàn hệ thống là tiêu chuẩn áp dụng cho dự án và do người quyết định đầu tư phê duyệt theo quy định của pháp luật về xây dựng.</w:t>
            </w:r>
          </w:p>
          <w:p w14:paraId="59E3B023" w14:textId="18C739C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3. Các quy định về </w:t>
            </w:r>
            <w:r w:rsidRPr="009D5CCD">
              <w:rPr>
                <w:rFonts w:ascii="Times New Roman" w:hAnsi="Times New Roman" w:cs="Times New Roman"/>
                <w:bCs/>
                <w:sz w:val="24"/>
                <w:szCs w:val="20"/>
              </w:rPr>
              <w:t xml:space="preserve">hồ sơ, tài liệu </w:t>
            </w:r>
            <w:r>
              <w:rPr>
                <w:rFonts w:ascii="Times New Roman" w:hAnsi="Times New Roman" w:cs="Times New Roman"/>
                <w:bCs/>
                <w:sz w:val="24"/>
                <w:szCs w:val="20"/>
              </w:rPr>
              <w:t>có liên quan sẽ được chi tiết theo thỏa thuận giữa chủ đầu tư và Tư vấn đánh giá an toàn hệ thống. Dự thảo Thông tư đã lược bỏ TTHC thẩm định hồ sơ do cơ quan nhà nước thực hiện, do đó các nội dung về trình tự, thủ tục và thành phần hồ sơ phục vụ thẩm định đã được lược bỏ đồng bộ.</w:t>
            </w:r>
          </w:p>
        </w:tc>
      </w:tr>
      <w:tr w:rsidR="00306602" w:rsidRPr="009921B1" w14:paraId="61DEDC7E" w14:textId="77777777" w:rsidTr="00C93FCE">
        <w:trPr>
          <w:trHeight w:val="20"/>
        </w:trPr>
        <w:tc>
          <w:tcPr>
            <w:tcW w:w="1175" w:type="pct"/>
            <w:shd w:val="clear" w:color="auto" w:fill="FFFFFF"/>
          </w:tcPr>
          <w:p w14:paraId="33954C5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38 Điều 3:</w:t>
            </w:r>
          </w:p>
          <w:p w14:paraId="5B0273C2" w14:textId="77689E9F" w:rsidR="00306602" w:rsidRPr="009741D7" w:rsidRDefault="00306602" w:rsidP="00C93FCE">
            <w:pPr>
              <w:widowControl w:val="0"/>
              <w:spacing w:before="60" w:after="0" w:line="240" w:lineRule="auto"/>
              <w:ind w:left="57" w:right="57"/>
              <w:jc w:val="both"/>
              <w:rPr>
                <w:rFonts w:ascii="Times New Roman" w:hAnsi="Times New Roman" w:cs="Times New Roman"/>
                <w:bCs/>
                <w:i/>
                <w:iCs/>
                <w:sz w:val="24"/>
                <w:szCs w:val="20"/>
              </w:rPr>
            </w:pPr>
            <w:r>
              <w:rPr>
                <w:rFonts w:ascii="Times New Roman" w:hAnsi="Times New Roman" w:cs="Times New Roman"/>
                <w:bCs/>
                <w:i/>
                <w:iCs/>
                <w:sz w:val="24"/>
                <w:szCs w:val="20"/>
              </w:rPr>
              <w:t xml:space="preserve">“38. </w:t>
            </w:r>
            <w:r w:rsidRPr="009741D7">
              <w:rPr>
                <w:rFonts w:ascii="Times New Roman" w:hAnsi="Times New Roman" w:cs="Times New Roman"/>
                <w:bCs/>
                <w:i/>
                <w:iCs/>
                <w:sz w:val="24"/>
                <w:szCs w:val="20"/>
              </w:rPr>
              <w:t>Rủi ro là tỷ lệ xuất hiện của một nguy hiểm gây ra thiệt hại và mức độ nghiêm trọng của thiệt hại đó</w:t>
            </w:r>
            <w:r>
              <w:rPr>
                <w:rFonts w:ascii="Times New Roman" w:hAnsi="Times New Roman" w:cs="Times New Roman"/>
                <w:bCs/>
                <w:i/>
                <w:iCs/>
                <w:sz w:val="24"/>
                <w:szCs w:val="20"/>
              </w:rPr>
              <w:t>.”</w:t>
            </w:r>
          </w:p>
        </w:tc>
        <w:tc>
          <w:tcPr>
            <w:tcW w:w="443" w:type="pct"/>
            <w:shd w:val="clear" w:color="auto" w:fill="FFFFFF"/>
          </w:tcPr>
          <w:p w14:paraId="081FB664" w14:textId="2B6BECD7"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43A4D6CC" w14:textId="18A7F98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35478E">
              <w:rPr>
                <w:rFonts w:ascii="Times New Roman" w:hAnsi="Times New Roman" w:cs="Times New Roman"/>
                <w:bCs/>
                <w:sz w:val="24"/>
                <w:szCs w:val="20"/>
              </w:rPr>
              <w:t>Xem lại định nghĩa rủi ro này vì có tỷ lệ, ngoài ra tại khoản 33 đã có định nghĩa về quản lý rủi ro, do đó xem xét quy định là tỷ lệ rủi ro.</w:t>
            </w:r>
          </w:p>
        </w:tc>
        <w:tc>
          <w:tcPr>
            <w:tcW w:w="1768" w:type="pct"/>
            <w:shd w:val="clear" w:color="auto" w:fill="FFFFFF"/>
          </w:tcPr>
          <w:p w14:paraId="2A4D4FA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57FC9727"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Các tiêu chuẩn áp dụng liên quan đến đánh giá an toàn hệ thống đều xác định rủi ro theo tỷ lệ và tùy từng cấp độ (SIL), loại hình thiết bị để xem xét, đánh giá. Do đó, việc quy định định cứng tỷ lệ trong Thông tư này là không phù hợp.</w:t>
            </w:r>
          </w:p>
          <w:p w14:paraId="25D119FE" w14:textId="251AD5ED"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2. Quy định này được kế thừa từ </w:t>
            </w:r>
            <w:r w:rsidRPr="002952A5">
              <w:rPr>
                <w:rFonts w:ascii="Times New Roman" w:hAnsi="Times New Roman" w:cs="Times New Roman"/>
                <w:bCs/>
                <w:sz w:val="24"/>
                <w:szCs w:val="20"/>
              </w:rPr>
              <w:t>Thông tư số 31/2018/TT-BGTVT quy định về đánh giá, chứng nhận an toàn hệ thống đối với đường sắt đô thị (sửa đổi, bổ sung tại Thông tư số 32/2020/TT-BGTVT, Thông tư số 14/2021/TT-BGTVT)</w:t>
            </w:r>
            <w:r>
              <w:rPr>
                <w:rFonts w:ascii="Times New Roman" w:hAnsi="Times New Roman" w:cs="Times New Roman"/>
                <w:bCs/>
                <w:sz w:val="24"/>
                <w:szCs w:val="20"/>
              </w:rPr>
              <w:t>, quá trình áp dụng Cục ĐSVN chưa nhận được ý kiến cho thấy vướng mắc từ thuật ngữ này.</w:t>
            </w:r>
          </w:p>
        </w:tc>
      </w:tr>
      <w:tr w:rsidR="00306602" w:rsidRPr="009921B1" w14:paraId="69D3DA03" w14:textId="77777777" w:rsidTr="00C93FCE">
        <w:trPr>
          <w:trHeight w:val="20"/>
        </w:trPr>
        <w:tc>
          <w:tcPr>
            <w:tcW w:w="1175" w:type="pct"/>
            <w:shd w:val="clear" w:color="auto" w:fill="FFFFFF"/>
          </w:tcPr>
          <w:p w14:paraId="14B7E18D"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40 Điều 3:</w:t>
            </w:r>
          </w:p>
          <w:p w14:paraId="5650B013" w14:textId="50F4FB42" w:rsidR="00306602" w:rsidRPr="00AB057F"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B057F">
              <w:rPr>
                <w:rFonts w:ascii="Times New Roman" w:hAnsi="Times New Roman" w:cs="Times New Roman"/>
                <w:bCs/>
                <w:i/>
                <w:iCs/>
                <w:sz w:val="24"/>
                <w:szCs w:val="20"/>
              </w:rPr>
              <w:t>“Phương tiện là toa xe đường sắt đô thị, không bao gồm các phương tiện chuyên dùng phục vụ thi công, duy tu bảo trì đường sắt”</w:t>
            </w:r>
          </w:p>
        </w:tc>
        <w:tc>
          <w:tcPr>
            <w:tcW w:w="443" w:type="pct"/>
            <w:shd w:val="clear" w:color="auto" w:fill="FFFFFF"/>
          </w:tcPr>
          <w:p w14:paraId="707FBAB7" w14:textId="6669BDFC"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Ban QLDA ĐS</w:t>
            </w:r>
          </w:p>
        </w:tc>
        <w:tc>
          <w:tcPr>
            <w:tcW w:w="1614" w:type="pct"/>
            <w:shd w:val="clear" w:color="auto" w:fill="FFFFFF"/>
          </w:tcPr>
          <w:p w14:paraId="6F2AFB4F" w14:textId="11A0CF26"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EF0192">
              <w:rPr>
                <w:rFonts w:ascii="Times New Roman" w:hAnsi="Times New Roman" w:cs="Times New Roman"/>
                <w:bCs/>
                <w:sz w:val="24"/>
                <w:szCs w:val="20"/>
              </w:rPr>
              <w:t>Đề nghị sử dụng đồng nhất khái niệm “Phương tiện giao thông đường sắt (sau đây gọi tắt là phương tiện) Bao gồm: đầu máy, toa xe” Cho phù hợp với định nghĩa tại quy chuẩn QCVN 15/2023/BGTVT – Quy chuẩn kỹ thuật quốc gia về yêu cầu an toàn kỹ thuật và bảo vệ môi trường đối với phương tiện giao thông đường sắt trong quá trình khai thác sử dụng.</w:t>
            </w:r>
          </w:p>
        </w:tc>
        <w:tc>
          <w:tcPr>
            <w:tcW w:w="1768" w:type="pct"/>
            <w:shd w:val="clear" w:color="auto" w:fill="FFFFFF"/>
          </w:tcPr>
          <w:p w14:paraId="5EF7F737" w14:textId="422A8E35"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tiếp thu, bỏ khoản này và đưa nội dung liên quan đến việc đánh giá, chứng nhận toa xe vào từng điều khoản cụ thể trong dự thảo Thông tư.</w:t>
            </w:r>
          </w:p>
        </w:tc>
      </w:tr>
      <w:tr w:rsidR="00306602" w:rsidRPr="009921B1" w14:paraId="7BC06301" w14:textId="77777777" w:rsidTr="00C93FCE">
        <w:trPr>
          <w:trHeight w:val="20"/>
        </w:trPr>
        <w:tc>
          <w:tcPr>
            <w:tcW w:w="1175" w:type="pct"/>
            <w:shd w:val="clear" w:color="auto" w:fill="FFFFFF"/>
          </w:tcPr>
          <w:p w14:paraId="16A3DA55" w14:textId="35583CC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Điều 5 về thẩm quyền </w:t>
            </w:r>
            <w:r w:rsidRPr="0029760C">
              <w:rPr>
                <w:rFonts w:ascii="Times New Roman" w:hAnsi="Times New Roman" w:cs="Times New Roman"/>
                <w:bCs/>
                <w:sz w:val="24"/>
                <w:szCs w:val="20"/>
              </w:rPr>
              <w:t>cấp giấy phép kết nối; gia hạn giấy phép kết nối, bãi bỏ kết nối; thu hồi, hủy giấy phép kết nối tuyến đường sắt</w:t>
            </w:r>
          </w:p>
        </w:tc>
        <w:tc>
          <w:tcPr>
            <w:tcW w:w="443" w:type="pct"/>
            <w:shd w:val="clear" w:color="auto" w:fill="FFFFFF"/>
          </w:tcPr>
          <w:p w14:paraId="26FB9DC9" w14:textId="6C0C9EDC"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1DE0F69F" w14:textId="18FD2EB9"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9760C">
              <w:rPr>
                <w:rFonts w:ascii="Times New Roman" w:hAnsi="Times New Roman" w:cs="Times New Roman"/>
                <w:bCs/>
                <w:sz w:val="24"/>
                <w:szCs w:val="20"/>
              </w:rPr>
              <w:t>Đề nghị bổ sung thẩm quyền khi kết nối tuyến đường sắt liên tỉnh do 2 địa phương quản lý. Hiện mới chỉ có thẩm quyền cho kết nối với đường sắt quốc gia và kết nối đường sắt các tuyến đường sắt do địa phương quản lý mà chưa có quy định cho việc kết nối của 2 địa phương (liên tỉnh).</w:t>
            </w:r>
          </w:p>
        </w:tc>
        <w:tc>
          <w:tcPr>
            <w:tcW w:w="1768" w:type="pct"/>
            <w:shd w:val="clear" w:color="auto" w:fill="FFFFFF"/>
          </w:tcPr>
          <w:p w14:paraId="5A61F9FE" w14:textId="2DB6252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Về nội dung này, cơ quan soạn thảo giải trình như sau: Trên cơ sở rà soát các quy hoạch về đường sắt có liên quan, hiện nay không có loại hình </w:t>
            </w:r>
            <w:r w:rsidRPr="0029760C">
              <w:rPr>
                <w:rFonts w:ascii="Times New Roman" w:hAnsi="Times New Roman" w:cs="Times New Roman"/>
                <w:bCs/>
                <w:sz w:val="24"/>
                <w:szCs w:val="20"/>
              </w:rPr>
              <w:t>tuyến đường sắt liên tỉnh</w:t>
            </w:r>
            <w:r>
              <w:rPr>
                <w:rFonts w:ascii="Times New Roman" w:hAnsi="Times New Roman" w:cs="Times New Roman"/>
                <w:bCs/>
                <w:sz w:val="24"/>
                <w:szCs w:val="20"/>
              </w:rPr>
              <w:t xml:space="preserve"> là đường sắt địa phương.</w:t>
            </w:r>
          </w:p>
        </w:tc>
      </w:tr>
      <w:tr w:rsidR="00306602" w:rsidRPr="009921B1" w14:paraId="286F54D4" w14:textId="77777777" w:rsidTr="00C93FCE">
        <w:trPr>
          <w:trHeight w:val="20"/>
        </w:trPr>
        <w:tc>
          <w:tcPr>
            <w:tcW w:w="1175" w:type="pct"/>
            <w:shd w:val="clear" w:color="auto" w:fill="FFFFFF"/>
          </w:tcPr>
          <w:p w14:paraId="7BF95E2A"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Khoản 5 Điều 13</w:t>
            </w:r>
          </w:p>
          <w:p w14:paraId="776B938E" w14:textId="311E8249" w:rsidR="00306602" w:rsidRPr="00DD3521"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DD3521">
              <w:rPr>
                <w:rFonts w:ascii="Times New Roman" w:hAnsi="Times New Roman" w:cs="Times New Roman"/>
                <w:bCs/>
                <w:i/>
                <w:iCs/>
                <w:sz w:val="24"/>
                <w:szCs w:val="20"/>
              </w:rPr>
              <w:t>“5. Trên mặt đường bộ trong khu vực đường ngang không có người gác được bố trí gờ giảm tốc, gồ giảm tốc để tăng cường an toàn giao thông. Việc bố trí gờ giảm tốc, gồ giảm tốc theo sơ đồ tổ chức phòng vệ đường ngang tại Phụ lục VI của Thông tư này. Trong trường hợp này, đoạn đường bộ trong lòng đường sắt và từ mép ray ngoài cùng trở ra, đường bộ dốc 0% trên chiều dài tối thiểu 25 mét (m).”</w:t>
            </w:r>
          </w:p>
        </w:tc>
        <w:tc>
          <w:tcPr>
            <w:tcW w:w="443" w:type="pct"/>
            <w:shd w:val="clear" w:color="auto" w:fill="FFFFFF"/>
          </w:tcPr>
          <w:p w14:paraId="7508A652" w14:textId="3B374386"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67E192BF" w14:textId="3A43B47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DD3521">
              <w:rPr>
                <w:rFonts w:ascii="Times New Roman" w:hAnsi="Times New Roman" w:cs="Times New Roman"/>
                <w:bCs/>
                <w:sz w:val="24"/>
                <w:szCs w:val="20"/>
              </w:rPr>
              <w:t>Trong trường hợp khi áp dụng đoạn đường bộ trong lòng đường sắt và từ mép ray ra ngoài cùng trở ra, đường bộ dốc 0% trên chiều dài tối thiếu 25 mét (m) thì ảnh hưởng đến nhiều khu vực có nhiều dân cư sinh sống hai bên đường bộ phạm vi vuốt dốc này. Vì vậy, đề xuất quy định mở hơn đối với chiều dài dốc bằng (0%) này.</w:t>
            </w:r>
          </w:p>
        </w:tc>
        <w:tc>
          <w:tcPr>
            <w:tcW w:w="1768" w:type="pct"/>
            <w:shd w:val="clear" w:color="auto" w:fill="FFFFFF"/>
          </w:tcPr>
          <w:p w14:paraId="3E098E30"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0BFBF1A9" w14:textId="5F469C8C"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1. Nội dung quy định </w:t>
            </w:r>
            <w:r w:rsidRPr="001F6470">
              <w:rPr>
                <w:rFonts w:ascii="Times New Roman" w:hAnsi="Times New Roman" w:cs="Times New Roman"/>
                <w:bCs/>
                <w:sz w:val="24"/>
                <w:szCs w:val="20"/>
              </w:rPr>
              <w:t>đoạn đường bộ trong lòng đường sắt và từ mép ray ngoài cùng trở ra, đường bộ dốc 0% trên chiều dài tối thiểu 25 mét (m)</w:t>
            </w:r>
            <w:r>
              <w:rPr>
                <w:rFonts w:ascii="Times New Roman" w:hAnsi="Times New Roman" w:cs="Times New Roman"/>
                <w:bCs/>
                <w:sz w:val="24"/>
                <w:szCs w:val="20"/>
              </w:rPr>
              <w:t xml:space="preserve"> là điều kiện để lắp đặt gờ giảm tốc, gồ giảm tốc. Nếu không đạt được thì không lắp đặt gồ, gờ giảm tốc vì sẽ gây nguy hiểm cho phương tiện giao thông.</w:t>
            </w:r>
          </w:p>
          <w:p w14:paraId="53C78612" w14:textId="09DC24E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2. Các yếu tố về bình diện, trắc dọc của đường bộ được quy định tại khoản 1, khoản 2 của Điều này.</w:t>
            </w:r>
          </w:p>
        </w:tc>
      </w:tr>
      <w:tr w:rsidR="00306602" w:rsidRPr="009921B1" w14:paraId="4D1761DC" w14:textId="77777777" w:rsidTr="00C93FCE">
        <w:trPr>
          <w:trHeight w:val="20"/>
        </w:trPr>
        <w:tc>
          <w:tcPr>
            <w:tcW w:w="1175" w:type="pct"/>
            <w:shd w:val="clear" w:color="auto" w:fill="FFFFFF"/>
          </w:tcPr>
          <w:p w14:paraId="30B546FE"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Điều 103. Nội dung đánh giá, chứng nhận an toàn hệ thống</w:t>
            </w:r>
          </w:p>
          <w:p w14:paraId="1F247EC8" w14:textId="743B4E8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p>
        </w:tc>
        <w:tc>
          <w:tcPr>
            <w:tcW w:w="443" w:type="pct"/>
            <w:shd w:val="clear" w:color="auto" w:fill="FFFFFF"/>
          </w:tcPr>
          <w:p w14:paraId="5620823E" w14:textId="52265135"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0807D51C"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Cần c</w:t>
            </w:r>
            <w:r w:rsidRPr="00AF6F08">
              <w:rPr>
                <w:rFonts w:ascii="Times New Roman" w:hAnsi="Times New Roman" w:cs="Times New Roman"/>
                <w:bCs/>
                <w:sz w:val="24"/>
                <w:szCs w:val="20"/>
              </w:rPr>
              <w:t>hi tiết hóa khái niệm "nâng cấp": Cần bổ sung một khoản hoặc một điều khoản giải thích rõ "nâng cấp" là những thay đổi có ảnh hưởng lớn đến an toàn hệ thống. Điều này giúp tránh tình trạng phải đánh giá lại toàn bộ hệ thống cho những thay đổi nhỏ, gây tốn kém và mất thời gian không cần thiết.</w:t>
            </w:r>
          </w:p>
          <w:p w14:paraId="7C8A63F0" w14:textId="77777777" w:rsidR="00306602" w:rsidRPr="00C4145D" w:rsidRDefault="00306602" w:rsidP="00C93FCE">
            <w:pPr>
              <w:widowControl w:val="0"/>
              <w:spacing w:before="60" w:after="0" w:line="240" w:lineRule="auto"/>
              <w:ind w:left="57" w:right="57"/>
              <w:jc w:val="both"/>
              <w:rPr>
                <w:rFonts w:ascii="Times New Roman" w:hAnsi="Times New Roman" w:cs="Times New Roman"/>
                <w:bCs/>
                <w:sz w:val="24"/>
                <w:szCs w:val="20"/>
              </w:rPr>
            </w:pPr>
            <w:r w:rsidRPr="00C4145D">
              <w:rPr>
                <w:rFonts w:ascii="Times New Roman" w:hAnsi="Times New Roman" w:cs="Times New Roman"/>
                <w:bCs/>
                <w:sz w:val="24"/>
                <w:szCs w:val="20"/>
              </w:rPr>
              <w:t>Ví dụ, phân biệt rõ:</w:t>
            </w:r>
          </w:p>
          <w:p w14:paraId="6428ECE4" w14:textId="77777777" w:rsidR="00306602" w:rsidRPr="00C4145D" w:rsidRDefault="00306602" w:rsidP="00C93FCE">
            <w:pPr>
              <w:widowControl w:val="0"/>
              <w:spacing w:before="60" w:after="0" w:line="240" w:lineRule="auto"/>
              <w:ind w:left="57" w:right="57"/>
              <w:jc w:val="both"/>
              <w:rPr>
                <w:rFonts w:ascii="Times New Roman" w:hAnsi="Times New Roman" w:cs="Times New Roman"/>
                <w:bCs/>
                <w:sz w:val="24"/>
                <w:szCs w:val="20"/>
              </w:rPr>
            </w:pPr>
            <w:r w:rsidRPr="00C4145D">
              <w:rPr>
                <w:rFonts w:ascii="Times New Roman" w:hAnsi="Times New Roman" w:cs="Times New Roman"/>
                <w:bCs/>
                <w:sz w:val="24"/>
                <w:szCs w:val="20"/>
              </w:rPr>
              <w:t>+ Nâng cấp lớn: Các thay đổi làm thay đổi thiết kế ban đầu, tốc độ vận hành, hoặc công nghệ chủ chốt.</w:t>
            </w:r>
          </w:p>
          <w:p w14:paraId="38315838" w14:textId="1114C6A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C4145D">
              <w:rPr>
                <w:rFonts w:ascii="Times New Roman" w:hAnsi="Times New Roman" w:cs="Times New Roman"/>
                <w:bCs/>
                <w:sz w:val="24"/>
                <w:szCs w:val="20"/>
              </w:rPr>
              <w:t>+ Nâng cấp nhỏ: Các thay đổi không làm ảnh hưởng đến các thông số kỹ thuật cốt lõi.</w:t>
            </w:r>
          </w:p>
        </w:tc>
        <w:tc>
          <w:tcPr>
            <w:tcW w:w="1768" w:type="pct"/>
            <w:shd w:val="clear" w:color="auto" w:fill="FFFFFF"/>
          </w:tcPr>
          <w:p w14:paraId="3D2CD876"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5EF12569"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Trường hợp nâng cấp tuyến đường sắt phải thực hiện đánh giá, chứng nhận an toàn hệ thống được quy định tại khoản 2 Điều 102 của dự thảo Thông tư:</w:t>
            </w:r>
          </w:p>
          <w:p w14:paraId="25487DE1" w14:textId="4C176691" w:rsidR="00306602" w:rsidRPr="00AF6F08" w:rsidRDefault="00306602" w:rsidP="00C93FCE">
            <w:pPr>
              <w:widowControl w:val="0"/>
              <w:spacing w:before="60" w:after="0" w:line="240" w:lineRule="auto"/>
              <w:ind w:left="57" w:right="57"/>
              <w:jc w:val="both"/>
              <w:rPr>
                <w:rFonts w:ascii="Times New Roman" w:hAnsi="Times New Roman" w:cs="Times New Roman"/>
                <w:bCs/>
                <w:i/>
                <w:iCs/>
                <w:sz w:val="24"/>
                <w:szCs w:val="20"/>
              </w:rPr>
            </w:pPr>
            <w:r>
              <w:rPr>
                <w:rFonts w:ascii="Times New Roman" w:hAnsi="Times New Roman" w:cs="Times New Roman"/>
                <w:bCs/>
                <w:i/>
                <w:iCs/>
                <w:sz w:val="24"/>
                <w:szCs w:val="20"/>
              </w:rPr>
              <w:t>“</w:t>
            </w:r>
            <w:r w:rsidRPr="00AF6F08">
              <w:rPr>
                <w:rFonts w:ascii="Times New Roman" w:hAnsi="Times New Roman" w:cs="Times New Roman"/>
                <w:bCs/>
                <w:i/>
                <w:iCs/>
                <w:sz w:val="24"/>
                <w:szCs w:val="20"/>
              </w:rPr>
              <w:t>2. Trường hợp phải được đánh giá, chứng nhận an toàn hệ thống khi thực hiên nâng cấp tuyến đường sắt gồm:</w:t>
            </w:r>
          </w:p>
          <w:p w14:paraId="6911DA0E" w14:textId="77777777" w:rsidR="00306602" w:rsidRPr="00AF6F08"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F6F08">
              <w:rPr>
                <w:rFonts w:ascii="Times New Roman" w:hAnsi="Times New Roman" w:cs="Times New Roman"/>
                <w:bCs/>
                <w:i/>
                <w:iCs/>
                <w:sz w:val="24"/>
                <w:szCs w:val="20"/>
              </w:rPr>
              <w:t>a) Thay đổi hệ thống thông tin - tín hiệu điều khiển chạy tàu;</w:t>
            </w:r>
          </w:p>
          <w:p w14:paraId="6CE74990" w14:textId="77777777" w:rsidR="00306602" w:rsidRPr="00AF6F08"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F6F08">
              <w:rPr>
                <w:rFonts w:ascii="Times New Roman" w:hAnsi="Times New Roman" w:cs="Times New Roman"/>
                <w:bCs/>
                <w:i/>
                <w:iCs/>
                <w:sz w:val="24"/>
                <w:szCs w:val="20"/>
              </w:rPr>
              <w:t>b) Thay đổi kiểu loại toa xe đường sắt (không bao gồm các phương tiện chuyên dùng phục vụ thi công, duy tu bảo trì đường sắt);</w:t>
            </w:r>
          </w:p>
          <w:p w14:paraId="7FFE0A87" w14:textId="77777777" w:rsidR="00306602" w:rsidRPr="00AF6F08"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F6F08">
              <w:rPr>
                <w:rFonts w:ascii="Times New Roman" w:hAnsi="Times New Roman" w:cs="Times New Roman"/>
                <w:bCs/>
                <w:i/>
                <w:iCs/>
                <w:sz w:val="24"/>
                <w:szCs w:val="20"/>
              </w:rPr>
              <w:t>c) Cải tạo hệ thống cung cấp điện sức kéo;</w:t>
            </w:r>
          </w:p>
          <w:p w14:paraId="4FE6C890" w14:textId="77777777" w:rsidR="00306602" w:rsidRPr="00AF6F08"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AF6F08">
              <w:rPr>
                <w:rFonts w:ascii="Times New Roman" w:hAnsi="Times New Roman" w:cs="Times New Roman"/>
                <w:bCs/>
                <w:i/>
                <w:iCs/>
                <w:sz w:val="24"/>
                <w:szCs w:val="20"/>
              </w:rPr>
              <w:t>d) Nâng cao năng lực vận tải, mở rộng quy mô tuyến;</w:t>
            </w:r>
          </w:p>
          <w:p w14:paraId="58123210" w14:textId="5C67D00B"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AF6F08">
              <w:rPr>
                <w:rFonts w:ascii="Times New Roman" w:hAnsi="Times New Roman" w:cs="Times New Roman"/>
                <w:bCs/>
                <w:i/>
                <w:iCs/>
                <w:sz w:val="24"/>
                <w:szCs w:val="20"/>
              </w:rPr>
              <w:t>đ) Thay đổi cơ cấu tổ chức của Tổ chức vận hành</w:t>
            </w:r>
            <w:r>
              <w:rPr>
                <w:rFonts w:ascii="Times New Roman" w:hAnsi="Times New Roman" w:cs="Times New Roman"/>
                <w:bCs/>
                <w:i/>
                <w:iCs/>
                <w:sz w:val="24"/>
                <w:szCs w:val="20"/>
              </w:rPr>
              <w:t>”</w:t>
            </w:r>
            <w:r w:rsidRPr="00AF6F08">
              <w:rPr>
                <w:rFonts w:ascii="Times New Roman" w:hAnsi="Times New Roman" w:cs="Times New Roman"/>
                <w:bCs/>
                <w:i/>
                <w:iCs/>
                <w:sz w:val="24"/>
                <w:szCs w:val="20"/>
              </w:rPr>
              <w:t>.</w:t>
            </w:r>
          </w:p>
        </w:tc>
      </w:tr>
      <w:tr w:rsidR="00306602" w:rsidRPr="009921B1" w14:paraId="2502A242" w14:textId="77777777" w:rsidTr="00C93FCE">
        <w:trPr>
          <w:trHeight w:val="20"/>
        </w:trPr>
        <w:tc>
          <w:tcPr>
            <w:tcW w:w="1175" w:type="pct"/>
            <w:shd w:val="clear" w:color="auto" w:fill="FFFFFF"/>
          </w:tcPr>
          <w:p w14:paraId="3A963A57" w14:textId="0474C74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Điều 103. Nội dung đánh giá, chứng nhận an toàn hệ thống</w:t>
            </w:r>
          </w:p>
        </w:tc>
        <w:tc>
          <w:tcPr>
            <w:tcW w:w="443" w:type="pct"/>
            <w:shd w:val="clear" w:color="auto" w:fill="FFFFFF"/>
          </w:tcPr>
          <w:p w14:paraId="3048F9A4" w14:textId="5B8AEEAC"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31664D34" w14:textId="2D11B477" w:rsidR="00306602" w:rsidRPr="00BC7EC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Đề nghị </w:t>
            </w:r>
            <w:r w:rsidRPr="00BC7ECC">
              <w:rPr>
                <w:rFonts w:ascii="Times New Roman" w:hAnsi="Times New Roman" w:cs="Times New Roman"/>
                <w:bCs/>
                <w:sz w:val="24"/>
                <w:szCs w:val="20"/>
              </w:rPr>
              <w:t>Bổ sung cơ chế giám sát: Ngoài việc yêu cầu tổ chức chứng nhận thực hiện, cần có cơ chế giám sát của cơ quan quản lý nhà nước (Bộ Xây dựng) để đảm bảo tính khách quan và minh bạch của quá trình đánh giá.</w:t>
            </w:r>
          </w:p>
          <w:p w14:paraId="2E739094"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BC7ECC">
              <w:rPr>
                <w:rFonts w:ascii="Times New Roman" w:hAnsi="Times New Roman" w:cs="Times New Roman"/>
                <w:bCs/>
                <w:sz w:val="24"/>
                <w:szCs w:val="20"/>
              </w:rPr>
              <w:t>Các điểm a, b, c, d, đ đã liệt kê các nội dung cần đánh giá khi nâng cấp. Tuy nhiên, các mục này vẫn còn chung chung.</w:t>
            </w:r>
          </w:p>
          <w:p w14:paraId="3A67DF2E" w14:textId="652B5D1C" w:rsidR="00306602" w:rsidRPr="007C1513" w:rsidRDefault="00306602" w:rsidP="00C93FCE">
            <w:pPr>
              <w:widowControl w:val="0"/>
              <w:spacing w:before="60" w:after="0" w:line="240" w:lineRule="auto"/>
              <w:ind w:left="57" w:right="57"/>
              <w:jc w:val="both"/>
              <w:rPr>
                <w:rFonts w:ascii="Times New Roman" w:hAnsi="Times New Roman" w:cs="Times New Roman"/>
                <w:bCs/>
                <w:sz w:val="24"/>
                <w:szCs w:val="20"/>
              </w:rPr>
            </w:pPr>
            <w:r w:rsidRPr="007C1513">
              <w:rPr>
                <w:rFonts w:ascii="Times New Roman" w:hAnsi="Times New Roman" w:cs="Times New Roman"/>
                <w:bCs/>
                <w:sz w:val="24"/>
                <w:szCs w:val="20"/>
              </w:rPr>
              <w:t>Các điểm a, b, c, d, đ đã liệt kê các nội dung cần đánh giá khi nâng cấp. Tuy nhiên, các mục này vẫn còn chung chung</w:t>
            </w:r>
            <w:r>
              <w:rPr>
                <w:rFonts w:ascii="Times New Roman" w:hAnsi="Times New Roman" w:cs="Times New Roman"/>
                <w:bCs/>
                <w:sz w:val="24"/>
                <w:szCs w:val="20"/>
              </w:rPr>
              <w:t>, đề nghị c</w:t>
            </w:r>
            <w:r w:rsidRPr="007C1513">
              <w:rPr>
                <w:rFonts w:ascii="Times New Roman" w:hAnsi="Times New Roman" w:cs="Times New Roman"/>
                <w:bCs/>
                <w:sz w:val="24"/>
                <w:szCs w:val="20"/>
              </w:rPr>
              <w:t>ụ thể hóa các trường hợp:</w:t>
            </w:r>
          </w:p>
          <w:p w14:paraId="3DE9B3D7" w14:textId="4B9FEF89" w:rsidR="00306602" w:rsidRPr="007C1513" w:rsidRDefault="00306602" w:rsidP="00C93FCE">
            <w:pPr>
              <w:widowControl w:val="0"/>
              <w:spacing w:before="60" w:after="0" w:line="240" w:lineRule="auto"/>
              <w:ind w:left="57" w:right="57"/>
              <w:jc w:val="both"/>
              <w:rPr>
                <w:rFonts w:ascii="Times New Roman" w:hAnsi="Times New Roman" w:cs="Times New Roman"/>
                <w:bCs/>
                <w:sz w:val="24"/>
                <w:szCs w:val="20"/>
              </w:rPr>
            </w:pPr>
            <w:r w:rsidRPr="007C1513">
              <w:rPr>
                <w:rFonts w:ascii="Times New Roman" w:hAnsi="Times New Roman" w:cs="Times New Roman"/>
                <w:bCs/>
                <w:sz w:val="24"/>
                <w:szCs w:val="20"/>
              </w:rPr>
              <w:t>+ Thay đổi kiểu loại phương tiện: Nên làm rõ liệu việc thay đổi một vài phụ tùng hay toàn bộ đầu máy, toa xe mới cần phải đánh giá lại an toàn hệ thống. Ví dụ: "Thay đổi kiểu loại phương tiện bao gồm nhưng không giới hạn: thay đổi đầu máy, toa xe sang một loại hình hoàn toàn mới so với thiết kế ban đầu."</w:t>
            </w:r>
            <w:r>
              <w:rPr>
                <w:rFonts w:ascii="Times New Roman" w:hAnsi="Times New Roman" w:cs="Times New Roman"/>
                <w:bCs/>
                <w:sz w:val="24"/>
                <w:szCs w:val="20"/>
              </w:rPr>
              <w:t>.</w:t>
            </w:r>
          </w:p>
          <w:p w14:paraId="7A9DE0D7" w14:textId="49A5079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7C1513">
              <w:rPr>
                <w:rFonts w:ascii="Times New Roman" w:hAnsi="Times New Roman" w:cs="Times New Roman"/>
                <w:bCs/>
                <w:sz w:val="24"/>
                <w:szCs w:val="20"/>
              </w:rPr>
              <w:t>+ Nâng cao năng lực vận tải: Cần định lượng rõ ràng. Ví dụ: "Tăng tần suất chạy tàu từ 30 chuyến/ngày lên 50 chuyến/ngày" hoặc "Nâng cao tốc độ chạy tàu trên 10% so với thiết kế ban đầu."</w:t>
            </w:r>
          </w:p>
        </w:tc>
        <w:tc>
          <w:tcPr>
            <w:tcW w:w="1768" w:type="pct"/>
            <w:shd w:val="clear" w:color="auto" w:fill="FFFFFF"/>
          </w:tcPr>
          <w:p w14:paraId="5284212B"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1C14609"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Tư vấn đánh giá là tổ chức ký hợp đồng với chủ đầu tư thực hiện nhiệm vụ, do đó việc ràng buộc trách nhiệm sẽ thể hiện trong hợp đồng xây dựng. Chủ đầu tư chịu trách nhiệm chính trong việc quản lý nhiệm vụ do tư vấn thực hiện.</w:t>
            </w:r>
          </w:p>
          <w:p w14:paraId="1B17D726"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2. Tại Điều 115 của dự thảo Thông tư đã quy định t</w:t>
            </w:r>
            <w:r w:rsidRPr="002D58F9">
              <w:rPr>
                <w:rFonts w:ascii="Times New Roman" w:hAnsi="Times New Roman" w:cs="Times New Roman"/>
                <w:bCs/>
                <w:sz w:val="24"/>
                <w:szCs w:val="20"/>
              </w:rPr>
              <w:t>rách nhiệm của Cục Đường sắt Việt Nam</w:t>
            </w:r>
            <w:r>
              <w:rPr>
                <w:rFonts w:ascii="Times New Roman" w:hAnsi="Times New Roman" w:cs="Times New Roman"/>
                <w:bCs/>
                <w:sz w:val="24"/>
                <w:szCs w:val="20"/>
              </w:rPr>
              <w:t xml:space="preserve">, </w:t>
            </w:r>
            <w:r w:rsidRPr="002D58F9">
              <w:rPr>
                <w:rFonts w:ascii="Times New Roman" w:hAnsi="Times New Roman" w:cs="Times New Roman"/>
                <w:bCs/>
                <w:sz w:val="24"/>
                <w:szCs w:val="20"/>
              </w:rPr>
              <w:t>Sở Xây dựng</w:t>
            </w:r>
            <w:r>
              <w:rPr>
                <w:rFonts w:ascii="Times New Roman" w:hAnsi="Times New Roman" w:cs="Times New Roman"/>
                <w:bCs/>
                <w:sz w:val="24"/>
                <w:szCs w:val="20"/>
              </w:rPr>
              <w:t xml:space="preserve"> trong việc k</w:t>
            </w:r>
            <w:r w:rsidRPr="002D58F9">
              <w:rPr>
                <w:rFonts w:ascii="Times New Roman" w:hAnsi="Times New Roman" w:cs="Times New Roman"/>
                <w:bCs/>
                <w:sz w:val="24"/>
                <w:szCs w:val="20"/>
              </w:rPr>
              <w:t>iểm tra trách nhiệm, nghĩa vụ của chủ đầu tư dự án trong việc đánh giá, chứng nhận an toàn hệ thống</w:t>
            </w:r>
            <w:r>
              <w:rPr>
                <w:rFonts w:ascii="Times New Roman" w:hAnsi="Times New Roman" w:cs="Times New Roman"/>
                <w:bCs/>
                <w:sz w:val="24"/>
                <w:szCs w:val="20"/>
              </w:rPr>
              <w:t>.</w:t>
            </w:r>
          </w:p>
          <w:p w14:paraId="15C79743" w14:textId="0F662D8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3. Nội dung Thông tư này quy định khung pháp lý làm cơ sở cho việc xây dựng nội dung, điều kiện và trách nhiệm của chủ đầu tư, tư vấn đánh giá an toàn hệ thống thực hiện. Do đó, việc chi tiết hơn nữa là không cần thiết. Mặt khác, nội dung hiện nay do các Ban QLDA ĐS đô thị Hà Nội, Tp. HCM đang thực hiện, quá trình lấy ý kiến tham gia dự thảo sau này cơ quan soạn thảo sẽ tiếp tục nghiên cứu ý kiến tham gia để hoàn thiện dự thảo (nếu cần).</w:t>
            </w:r>
          </w:p>
        </w:tc>
      </w:tr>
      <w:tr w:rsidR="00306602" w:rsidRPr="009921B1" w14:paraId="304349EE" w14:textId="77777777" w:rsidTr="00C93FCE">
        <w:trPr>
          <w:trHeight w:val="20"/>
        </w:trPr>
        <w:tc>
          <w:tcPr>
            <w:tcW w:w="1175" w:type="pct"/>
            <w:shd w:val="clear" w:color="auto" w:fill="FFFFFF"/>
          </w:tcPr>
          <w:p w14:paraId="288D897B" w14:textId="3F60D2A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31717">
              <w:rPr>
                <w:rFonts w:ascii="Times New Roman" w:hAnsi="Times New Roman" w:cs="Times New Roman"/>
                <w:bCs/>
                <w:sz w:val="24"/>
                <w:szCs w:val="20"/>
              </w:rPr>
              <w:t>Điề</w:t>
            </w:r>
            <w:r>
              <w:rPr>
                <w:rFonts w:ascii="Times New Roman" w:hAnsi="Times New Roman" w:cs="Times New Roman"/>
                <w:bCs/>
                <w:sz w:val="24"/>
                <w:szCs w:val="20"/>
              </w:rPr>
              <w:t>u 105</w:t>
            </w:r>
            <w:r w:rsidRPr="00231717">
              <w:rPr>
                <w:rFonts w:ascii="Times New Roman" w:hAnsi="Times New Roman" w:cs="Times New Roman"/>
                <w:bCs/>
                <w:sz w:val="24"/>
                <w:szCs w:val="20"/>
              </w:rPr>
              <w:t>. Trình tự thực hiện đánh giá, chứng nhận an toàn hệ thống</w:t>
            </w:r>
          </w:p>
        </w:tc>
        <w:tc>
          <w:tcPr>
            <w:tcW w:w="443" w:type="pct"/>
            <w:shd w:val="clear" w:color="auto" w:fill="FFFFFF"/>
          </w:tcPr>
          <w:p w14:paraId="58E005A7" w14:textId="656AF140"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4D23F006" w14:textId="7D9ACCF9" w:rsidR="00306602" w:rsidRPr="004047AA" w:rsidRDefault="00306602" w:rsidP="00C93FCE">
            <w:pPr>
              <w:widowControl w:val="0"/>
              <w:spacing w:before="60" w:after="0" w:line="240" w:lineRule="auto"/>
              <w:ind w:left="57" w:right="57"/>
              <w:jc w:val="both"/>
              <w:rPr>
                <w:rFonts w:ascii="Times New Roman" w:hAnsi="Times New Roman" w:cs="Times New Roman"/>
                <w:bCs/>
                <w:sz w:val="24"/>
                <w:szCs w:val="20"/>
              </w:rPr>
            </w:pPr>
            <w:r w:rsidRPr="004047AA">
              <w:rPr>
                <w:rFonts w:ascii="Times New Roman" w:hAnsi="Times New Roman" w:cs="Times New Roman"/>
                <w:bCs/>
                <w:sz w:val="24"/>
                <w:szCs w:val="20"/>
              </w:rPr>
              <w:t>Tính chi tiết của quy định kỹ thuật: Kiến nghị thông tư cần có hướng dẫn chi tiết về việc xây dựng "quy định kỹ thuật của gói thầu". Quy định này không nên chỉ dừng lại ở việc tuân thủ luật đấu thầu mà phải bao gồm các yêu cầu cụ thể về tiêu chuẩn an toàn, phạm vi đánh giá, các công nghệ được áp dụng, và các mốc thời gian quan trọng.</w:t>
            </w:r>
          </w:p>
          <w:p w14:paraId="2545CCEF" w14:textId="67102F11"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4047AA">
              <w:rPr>
                <w:rFonts w:ascii="Times New Roman" w:hAnsi="Times New Roman" w:cs="Times New Roman"/>
                <w:bCs/>
                <w:sz w:val="24"/>
                <w:szCs w:val="20"/>
              </w:rPr>
              <w:t>Trách nhiệm của Chủ đầu tư: Cần làm rõ trách nhiệm của Chủ đầu tư trong việc thẩm định và phê duyệt các yêu cầu kỹ thuật này trước khi đấu thầu. Điều này giúp đảm bảo rằng tổ chức chứng nhận được chọn sẽ có đủ năng lực và hiểu rõ các yêu cầu của dự án.</w:t>
            </w:r>
          </w:p>
        </w:tc>
        <w:tc>
          <w:tcPr>
            <w:tcW w:w="1768" w:type="pct"/>
            <w:shd w:val="clear" w:color="auto" w:fill="FFFFFF"/>
          </w:tcPr>
          <w:p w14:paraId="6277842E" w14:textId="7B17AA9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Về nội dung này, cơ quan soạn thảo tiếp thu, chỉnh lý dự thảo. </w:t>
            </w:r>
          </w:p>
          <w:p w14:paraId="01D3AA9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p>
        </w:tc>
      </w:tr>
      <w:tr w:rsidR="00306602" w:rsidRPr="009921B1" w14:paraId="37E472DB" w14:textId="77777777" w:rsidTr="00C93FCE">
        <w:trPr>
          <w:trHeight w:val="20"/>
        </w:trPr>
        <w:tc>
          <w:tcPr>
            <w:tcW w:w="1175" w:type="pct"/>
            <w:shd w:val="clear" w:color="auto" w:fill="FFFFFF"/>
          </w:tcPr>
          <w:p w14:paraId="425C432D" w14:textId="03F3FFDB"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31717">
              <w:rPr>
                <w:rFonts w:ascii="Times New Roman" w:hAnsi="Times New Roman" w:cs="Times New Roman"/>
                <w:bCs/>
                <w:sz w:val="24"/>
                <w:szCs w:val="20"/>
              </w:rPr>
              <w:t>Điề</w:t>
            </w:r>
            <w:r>
              <w:rPr>
                <w:rFonts w:ascii="Times New Roman" w:hAnsi="Times New Roman" w:cs="Times New Roman"/>
                <w:bCs/>
                <w:sz w:val="24"/>
                <w:szCs w:val="20"/>
              </w:rPr>
              <w:t>u 105</w:t>
            </w:r>
            <w:r w:rsidRPr="00231717">
              <w:rPr>
                <w:rFonts w:ascii="Times New Roman" w:hAnsi="Times New Roman" w:cs="Times New Roman"/>
                <w:bCs/>
                <w:sz w:val="24"/>
                <w:szCs w:val="20"/>
              </w:rPr>
              <w:t>. Trình tự thực hiện đánh giá, chứng nhận an toàn hệ thống</w:t>
            </w:r>
          </w:p>
        </w:tc>
        <w:tc>
          <w:tcPr>
            <w:tcW w:w="443" w:type="pct"/>
            <w:shd w:val="clear" w:color="auto" w:fill="FFFFFF"/>
          </w:tcPr>
          <w:p w14:paraId="6889E78B" w14:textId="076E7CA8"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0D84A34E" w14:textId="1463065C"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3E712E">
              <w:rPr>
                <w:rFonts w:ascii="Times New Roman" w:hAnsi="Times New Roman" w:cs="Times New Roman"/>
                <w:bCs/>
                <w:sz w:val="24"/>
                <w:szCs w:val="20"/>
              </w:rPr>
              <w:t>Cơ chế thẩm định độc lập: Việc chỉ dựa vào Tổ chức chứng nhận xây dựng đề cương có thể làm giảm tính khách quan. Đề xuất một cơ chế thẩm định đề cương có sự tham gia của một cơ quan chuyên môn độc lập hoặc cơ quan quản lý nhà nước trước khi Chủ đầu tư phê duyệt. Điều này đảm bảo rằng đề cương đánh giá đáp ứng được các yêu cầu về an toàn và kỹ thuật một cách đầy đủ.</w:t>
            </w:r>
          </w:p>
        </w:tc>
        <w:tc>
          <w:tcPr>
            <w:tcW w:w="1768" w:type="pct"/>
            <w:shd w:val="clear" w:color="auto" w:fill="FFFFFF"/>
          </w:tcPr>
          <w:p w14:paraId="39C0D284"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47998B7" w14:textId="093E365C"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Việc tổ chức thẩm định đề cương đánh giá chứng nhận thuộc nghĩa vụ của chủ đầu tư, theo đó, để </w:t>
            </w:r>
            <w:r w:rsidRPr="003E712E">
              <w:rPr>
                <w:rFonts w:ascii="Times New Roman" w:hAnsi="Times New Roman" w:cs="Times New Roman"/>
                <w:bCs/>
                <w:sz w:val="24"/>
                <w:szCs w:val="20"/>
              </w:rPr>
              <w:t>đảm bảo đề cương đánh giá đáp ứng được các yêu cầu về an toàn và kỹ thuật một cách đầy đủ</w:t>
            </w:r>
            <w:r>
              <w:rPr>
                <w:rFonts w:ascii="Times New Roman" w:hAnsi="Times New Roman" w:cs="Times New Roman"/>
                <w:bCs/>
                <w:sz w:val="24"/>
                <w:szCs w:val="20"/>
              </w:rPr>
              <w:t>, chủ đầu tư có thể chủ động thành lập tổ chuyên gia, lấy ý kiến các cơ quan quản lý, nhà khoa học… Do đó, nội dung này không cần phải luật hóa thành cơ chế bắt buộc.</w:t>
            </w:r>
          </w:p>
        </w:tc>
      </w:tr>
      <w:tr w:rsidR="00306602" w:rsidRPr="009921B1" w14:paraId="2F9B2CB7" w14:textId="77777777" w:rsidTr="00C93FCE">
        <w:trPr>
          <w:trHeight w:val="20"/>
        </w:trPr>
        <w:tc>
          <w:tcPr>
            <w:tcW w:w="1175" w:type="pct"/>
            <w:shd w:val="clear" w:color="auto" w:fill="FFFFFF"/>
          </w:tcPr>
          <w:p w14:paraId="51472262" w14:textId="3519485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31717">
              <w:rPr>
                <w:rFonts w:ascii="Times New Roman" w:hAnsi="Times New Roman" w:cs="Times New Roman"/>
                <w:bCs/>
                <w:sz w:val="24"/>
                <w:szCs w:val="20"/>
              </w:rPr>
              <w:t>Điề</w:t>
            </w:r>
            <w:r>
              <w:rPr>
                <w:rFonts w:ascii="Times New Roman" w:hAnsi="Times New Roman" w:cs="Times New Roman"/>
                <w:bCs/>
                <w:sz w:val="24"/>
                <w:szCs w:val="20"/>
              </w:rPr>
              <w:t>u 105</w:t>
            </w:r>
            <w:r w:rsidRPr="00231717">
              <w:rPr>
                <w:rFonts w:ascii="Times New Roman" w:hAnsi="Times New Roman" w:cs="Times New Roman"/>
                <w:bCs/>
                <w:sz w:val="24"/>
                <w:szCs w:val="20"/>
              </w:rPr>
              <w:t>. Trình tự thực hiện đánh giá, chứng nhận an toàn hệ thống</w:t>
            </w:r>
          </w:p>
        </w:tc>
        <w:tc>
          <w:tcPr>
            <w:tcW w:w="443" w:type="pct"/>
            <w:shd w:val="clear" w:color="auto" w:fill="FFFFFF"/>
          </w:tcPr>
          <w:p w14:paraId="30FEE65D" w14:textId="545ACA92"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5C7BF1A4" w14:textId="389D61F7" w:rsidR="00306602" w:rsidRPr="00ED0D7F"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ED0D7F">
              <w:rPr>
                <w:rFonts w:ascii="Times New Roman" w:hAnsi="Times New Roman" w:cs="Times New Roman"/>
                <w:bCs/>
                <w:sz w:val="24"/>
                <w:szCs w:val="20"/>
              </w:rPr>
              <w:t>Sự phối hợp: Cần bổ sung các quy định về việc phối hợp giữa Chủ đầu tư và Tổ chức chứng nhận trong quá trình xây dựng đề cương. Hai bên cần thảo luận và thống nhất về phạm vi, phương pháp, và tài liệu cần thiết để tránh các tranh chấp hoặc hiểu lầm sau này.</w:t>
            </w:r>
          </w:p>
          <w:p w14:paraId="19F1FFE4" w14:textId="6FA806AB" w:rsidR="00306602" w:rsidRPr="00ED0D7F"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ED0D7F">
              <w:rPr>
                <w:rFonts w:ascii="Times New Roman" w:hAnsi="Times New Roman" w:cs="Times New Roman"/>
                <w:bCs/>
                <w:sz w:val="24"/>
                <w:szCs w:val="20"/>
              </w:rPr>
              <w:t>Báo cáo định kỳ: Việc quy định Tổ chức chứng nhận phải gửi "báo cáo đánh giá định kỳ" là rất cần thiết. Tuy nhiên, thông tư cần làm rõ tần suất và nội dung của các báo cáo này. Chủ đầu tư có thể đề xuất các mốc thời gian cụ thể, chẳng hạn như báo cáo hàng quý hoặc khi hoàn thành một hạng mục quan trọng, để Chủ đầu tư có thể nắm bắt tiến độ và kịp thời xử lý các vấn đề phát sinh.</w:t>
            </w:r>
          </w:p>
          <w:p w14:paraId="3DD852AE" w14:textId="79BEE611"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ED0D7F">
              <w:rPr>
                <w:rFonts w:ascii="Times New Roman" w:hAnsi="Times New Roman" w:cs="Times New Roman"/>
                <w:bCs/>
                <w:sz w:val="24"/>
                <w:szCs w:val="20"/>
              </w:rPr>
              <w:t>Tương tác và xử lý vấn đề: Thông tư cần quy định rõ ràng về quy trình xử lý các vấn đề an toàn được phát hiện trong quá trình đánh giá. Ví dụ, khi Tổ chức chứng nhận phát hiện một rủi ro hoặc thiếu sót về an toàn, họ phải có trách nhiệm báo cáo ngay lập tức cho Chủ đầu tư và các bên liên quan để đưa ra biện pháp khắc phục kịp thời.</w:t>
            </w:r>
          </w:p>
        </w:tc>
        <w:tc>
          <w:tcPr>
            <w:tcW w:w="1768" w:type="pct"/>
            <w:shd w:val="clear" w:color="auto" w:fill="FFFFFF"/>
          </w:tcPr>
          <w:p w14:paraId="0526AD4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05601687"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Các nội dung phối hợp giữa chủ đầu tư và Tư vấn an toàn hệ thống, báo cáo và tương tác, xử lý vấn đề cụ thể thuộc về nội dung hợp đồng. Trước khi ký kết hợp đồng, chủ đầu tư và đơn vị tư vấn phải thương thảo, xác định cụ thể nội dung, phạm vi công việc và xác lập cơ chế phối hợp, báo cáo và xử lý các vấn đề có liên quan cho phù hợp với tính chất của dự án đường sắt. </w:t>
            </w:r>
          </w:p>
          <w:p w14:paraId="2EE8AF55" w14:textId="5F0E4A30"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Do đó nội dung này không cần phải luật hóa thành cơ chế bắt buộc.</w:t>
            </w:r>
          </w:p>
        </w:tc>
      </w:tr>
      <w:tr w:rsidR="00306602" w:rsidRPr="009921B1" w14:paraId="2FFE8690" w14:textId="77777777" w:rsidTr="00C93FCE">
        <w:trPr>
          <w:trHeight w:val="20"/>
        </w:trPr>
        <w:tc>
          <w:tcPr>
            <w:tcW w:w="1175" w:type="pct"/>
            <w:shd w:val="clear" w:color="auto" w:fill="FFFFFF"/>
          </w:tcPr>
          <w:p w14:paraId="33F5927F" w14:textId="6890587C"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31717">
              <w:rPr>
                <w:rFonts w:ascii="Times New Roman" w:hAnsi="Times New Roman" w:cs="Times New Roman"/>
                <w:bCs/>
                <w:sz w:val="24"/>
                <w:szCs w:val="20"/>
              </w:rPr>
              <w:t>Điề</w:t>
            </w:r>
            <w:r>
              <w:rPr>
                <w:rFonts w:ascii="Times New Roman" w:hAnsi="Times New Roman" w:cs="Times New Roman"/>
                <w:bCs/>
                <w:sz w:val="24"/>
                <w:szCs w:val="20"/>
              </w:rPr>
              <w:t>u 105</w:t>
            </w:r>
            <w:r w:rsidRPr="00231717">
              <w:rPr>
                <w:rFonts w:ascii="Times New Roman" w:hAnsi="Times New Roman" w:cs="Times New Roman"/>
                <w:bCs/>
                <w:sz w:val="24"/>
                <w:szCs w:val="20"/>
              </w:rPr>
              <w:t>. Trình tự thực hiện đánh giá, chứng nhận an toàn hệ thống</w:t>
            </w:r>
          </w:p>
        </w:tc>
        <w:tc>
          <w:tcPr>
            <w:tcW w:w="443" w:type="pct"/>
            <w:shd w:val="clear" w:color="auto" w:fill="FFFFFF"/>
          </w:tcPr>
          <w:p w14:paraId="6F01F198" w14:textId="049F8BC1"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5B143414" w14:textId="66B1BE9B" w:rsidR="00306602" w:rsidRPr="00AF605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AF605C">
              <w:rPr>
                <w:rFonts w:ascii="Times New Roman" w:hAnsi="Times New Roman" w:cs="Times New Roman"/>
                <w:bCs/>
                <w:sz w:val="24"/>
                <w:szCs w:val="20"/>
              </w:rPr>
              <w:t>Tiêu chí cấp chứng nhận: Thông tư cần quy định cụ thể và rõ ràng các tiêu chí để cấp "Giấy chứng nhận an toàn hệ thống". Giấy chứng nhận này phải được cấp dựa trên một báo cáo cuối cùng chi tiết, trong đó nêu rõ các rủi ro đã được quản lý và các yêu cầu an toàn đã được đáp ứng.</w:t>
            </w:r>
          </w:p>
          <w:p w14:paraId="389E3DCB" w14:textId="64E9B97D"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AF605C">
              <w:rPr>
                <w:rFonts w:ascii="Times New Roman" w:hAnsi="Times New Roman" w:cs="Times New Roman"/>
                <w:bCs/>
                <w:sz w:val="24"/>
                <w:szCs w:val="20"/>
              </w:rPr>
              <w:t>Hiệu lực và gia hạn: Cần bổ sung các quy định về hiệu lực của Giấy chứng nhận, điều kiện gia hạn, và các trường hợp có thể bị thu hồi chứng nhận để đảm bảo tính an toàn lâu dài của hệ thống đường sắt.</w:t>
            </w:r>
          </w:p>
        </w:tc>
        <w:tc>
          <w:tcPr>
            <w:tcW w:w="1768" w:type="pct"/>
            <w:shd w:val="clear" w:color="auto" w:fill="FFFFFF"/>
          </w:tcPr>
          <w:p w14:paraId="54129435"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72C59652" w14:textId="75252952" w:rsidR="00306602" w:rsidRDefault="00306602" w:rsidP="00C93FCE">
            <w:pPr>
              <w:spacing w:before="60" w:after="0" w:line="240" w:lineRule="auto"/>
              <w:jc w:val="both"/>
            </w:pPr>
            <w:r w:rsidRPr="00AF605C">
              <w:rPr>
                <w:rFonts w:ascii="Times New Roman" w:hAnsi="Times New Roman" w:cs="Times New Roman"/>
                <w:bCs/>
                <w:sz w:val="24"/>
                <w:szCs w:val="20"/>
              </w:rPr>
              <w:t>Tiêu chí cấp chứng nhận</w:t>
            </w:r>
            <w:r>
              <w:rPr>
                <w:rFonts w:ascii="Times New Roman" w:hAnsi="Times New Roman" w:cs="Times New Roman"/>
                <w:bCs/>
                <w:sz w:val="24"/>
                <w:szCs w:val="20"/>
              </w:rPr>
              <w:t>, h</w:t>
            </w:r>
            <w:r w:rsidRPr="00AF605C">
              <w:rPr>
                <w:rFonts w:ascii="Times New Roman" w:hAnsi="Times New Roman" w:cs="Times New Roman"/>
                <w:bCs/>
                <w:sz w:val="24"/>
                <w:szCs w:val="20"/>
              </w:rPr>
              <w:t>iệu lực và gia hạn</w:t>
            </w:r>
            <w:r>
              <w:rPr>
                <w:rFonts w:ascii="Times New Roman" w:hAnsi="Times New Roman" w:cs="Times New Roman"/>
                <w:bCs/>
                <w:sz w:val="24"/>
                <w:szCs w:val="20"/>
              </w:rPr>
              <w:t xml:space="preserve"> phụ thuộc vào tiêu chuẩn mà tổ chức chứng nhận sử dụng để đánh giá an toàn hệ thống cũng như kết quả của quá trình xem xét, đánh giá chứng nhận. Do đó nội dung này không cần phải luật hóa thành cơ chế bắt buộc.</w:t>
            </w:r>
          </w:p>
          <w:p w14:paraId="29B56C0A" w14:textId="3E6C194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p>
        </w:tc>
      </w:tr>
      <w:tr w:rsidR="00306602" w:rsidRPr="009921B1" w14:paraId="5E443626" w14:textId="77777777" w:rsidTr="00C93FCE">
        <w:trPr>
          <w:trHeight w:val="20"/>
        </w:trPr>
        <w:tc>
          <w:tcPr>
            <w:tcW w:w="1175" w:type="pct"/>
            <w:shd w:val="clear" w:color="auto" w:fill="FFFFFF"/>
          </w:tcPr>
          <w:p w14:paraId="4B912FA4" w14:textId="2CC6ECE5"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BC0FFF">
              <w:rPr>
                <w:rFonts w:ascii="Times New Roman" w:hAnsi="Times New Roman" w:cs="Times New Roman"/>
                <w:bCs/>
                <w:sz w:val="24"/>
                <w:szCs w:val="20"/>
              </w:rPr>
              <w:t>Điều 105. Giấy chứng nhận an toàn hệ thống</w:t>
            </w:r>
          </w:p>
        </w:tc>
        <w:tc>
          <w:tcPr>
            <w:tcW w:w="443" w:type="pct"/>
            <w:shd w:val="clear" w:color="auto" w:fill="FFFFFF"/>
          </w:tcPr>
          <w:p w14:paraId="1BDD9254" w14:textId="2E3877DE"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18AA8B6A" w14:textId="169B1EF0" w:rsidR="00306602" w:rsidRPr="00AA5C71"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AA5C71">
              <w:rPr>
                <w:rFonts w:ascii="Times New Roman" w:hAnsi="Times New Roman" w:cs="Times New Roman"/>
                <w:bCs/>
                <w:sz w:val="24"/>
                <w:szCs w:val="20"/>
              </w:rPr>
              <w:t>Bỏ những chữ “đô thị” do phạm vi của nghị định này bao gồm cả đường sắt tốc độ cao, đường sắt cấp I, đường sắt đô thị</w:t>
            </w:r>
          </w:p>
          <w:p w14:paraId="1E435BA3" w14:textId="63CED6B6"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 </w:t>
            </w:r>
            <w:r w:rsidRPr="00AA5C71">
              <w:rPr>
                <w:rFonts w:ascii="Times New Roman" w:hAnsi="Times New Roman" w:cs="Times New Roman"/>
                <w:bCs/>
                <w:sz w:val="24"/>
                <w:szCs w:val="20"/>
              </w:rPr>
              <w:t>Tính chi tiết của thông tin kỹ thuật: Mục 4 đã liệt kê các đặc tính kỹ thuật cơ bản. Tuy nhiên, nên bổ sung các thông tin chi tiết hơn để Giấy chứng nhận có giá trị pháp lý và kỹ thuật cao hơn. Ví dụ, đối với "hệ thống thông tin - tín hiệu", cần ghi rõ loại công nghệ được áp dụng (ví dụ: CBTC ((Communication-Based Train Control), ATO (Automatic Train Operation), ETCS (European Train Control System) ...). Đối với "thành phần đoàn tàu", nên nêu rõ số lượng toa xe, tải trọng trục, tốc độ thiết kế/vận hành tối đa.</w:t>
            </w:r>
          </w:p>
        </w:tc>
        <w:tc>
          <w:tcPr>
            <w:tcW w:w="1768" w:type="pct"/>
            <w:shd w:val="clear" w:color="auto" w:fill="FFFFFF"/>
          </w:tcPr>
          <w:p w14:paraId="0B9A1A90" w14:textId="68A1AC1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tiếp thu, chỉnh lý dự thảo.</w:t>
            </w:r>
          </w:p>
          <w:p w14:paraId="191F3BC2"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p>
        </w:tc>
      </w:tr>
      <w:tr w:rsidR="00306602" w:rsidRPr="009921B1" w14:paraId="3F2D7773" w14:textId="77777777" w:rsidTr="00C93FCE">
        <w:trPr>
          <w:trHeight w:val="20"/>
        </w:trPr>
        <w:tc>
          <w:tcPr>
            <w:tcW w:w="1175" w:type="pct"/>
            <w:shd w:val="clear" w:color="auto" w:fill="FFFFFF"/>
          </w:tcPr>
          <w:p w14:paraId="1FE6C34B" w14:textId="0289B055"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BC0FFF">
              <w:rPr>
                <w:rFonts w:ascii="Times New Roman" w:hAnsi="Times New Roman" w:cs="Times New Roman"/>
                <w:bCs/>
                <w:sz w:val="24"/>
                <w:szCs w:val="20"/>
              </w:rPr>
              <w:t>Điều 105. Giấy chứng nhận an toàn hệ thống</w:t>
            </w:r>
          </w:p>
        </w:tc>
        <w:tc>
          <w:tcPr>
            <w:tcW w:w="443" w:type="pct"/>
            <w:shd w:val="clear" w:color="auto" w:fill="FFFFFF"/>
          </w:tcPr>
          <w:p w14:paraId="72DEC6BF" w14:textId="773E4C92"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677B778F" w14:textId="186934AB"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A3395">
              <w:rPr>
                <w:rFonts w:ascii="Times New Roman" w:hAnsi="Times New Roman" w:cs="Times New Roman"/>
                <w:bCs/>
                <w:sz w:val="24"/>
                <w:szCs w:val="20"/>
              </w:rPr>
              <w:t>Cần bổ sung tên và chữ ký của đại diện Chủ đầu tư và đại diện Tổ chức vận hành để xác nhận việc tiếp nhận và cam kết tuân thủ các điều kiện an toàn đã được chứng nhận.</w:t>
            </w:r>
          </w:p>
        </w:tc>
        <w:tc>
          <w:tcPr>
            <w:tcW w:w="1768" w:type="pct"/>
            <w:shd w:val="clear" w:color="auto" w:fill="FFFFFF"/>
          </w:tcPr>
          <w:p w14:paraId="1D18EEAF"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6ED44AF8"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BC0FFF">
              <w:rPr>
                <w:rFonts w:ascii="Times New Roman" w:hAnsi="Times New Roman" w:cs="Times New Roman"/>
                <w:bCs/>
                <w:sz w:val="24"/>
                <w:szCs w:val="20"/>
              </w:rPr>
              <w:t>Giấy chứng nhận an toàn hệ thống</w:t>
            </w:r>
            <w:r>
              <w:rPr>
                <w:rFonts w:ascii="Times New Roman" w:hAnsi="Times New Roman" w:cs="Times New Roman"/>
                <w:bCs/>
                <w:sz w:val="24"/>
                <w:szCs w:val="20"/>
              </w:rPr>
              <w:t xml:space="preserve"> được cấp bởi tư vấn đánh giá, chứng nhận. Do đó, việc có thêm chữ ký của c</w:t>
            </w:r>
            <w:r w:rsidRPr="002A3395">
              <w:rPr>
                <w:rFonts w:ascii="Times New Roman" w:hAnsi="Times New Roman" w:cs="Times New Roman"/>
                <w:bCs/>
                <w:sz w:val="24"/>
                <w:szCs w:val="20"/>
              </w:rPr>
              <w:t xml:space="preserve">hủ đầu tư và đại diện </w:t>
            </w:r>
            <w:r>
              <w:rPr>
                <w:rFonts w:ascii="Times New Roman" w:hAnsi="Times New Roman" w:cs="Times New Roman"/>
                <w:bCs/>
                <w:sz w:val="24"/>
                <w:szCs w:val="20"/>
              </w:rPr>
              <w:t>t</w:t>
            </w:r>
            <w:r w:rsidRPr="002A3395">
              <w:rPr>
                <w:rFonts w:ascii="Times New Roman" w:hAnsi="Times New Roman" w:cs="Times New Roman"/>
                <w:bCs/>
                <w:sz w:val="24"/>
                <w:szCs w:val="20"/>
              </w:rPr>
              <w:t>ổ chức vận hành</w:t>
            </w:r>
            <w:r>
              <w:rPr>
                <w:rFonts w:ascii="Times New Roman" w:hAnsi="Times New Roman" w:cs="Times New Roman"/>
                <w:bCs/>
                <w:sz w:val="24"/>
                <w:szCs w:val="20"/>
              </w:rPr>
              <w:t xml:space="preserve"> là không hợp lý.</w:t>
            </w:r>
          </w:p>
          <w:p w14:paraId="06A691A1" w14:textId="4D09CB2A"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Khi đưa tuyến đường sắt vào khai thác, giấy chứng nhận và hồ sơ đánh giá, chứng nhận an toàn hệ thống phải được chủ đầu tư, đơn vị vận hành tiếp nhận và thực hiện để khai thác tuyến đường sắt an toàn.</w:t>
            </w:r>
          </w:p>
        </w:tc>
      </w:tr>
      <w:tr w:rsidR="00306602" w:rsidRPr="009921B1" w14:paraId="225C232B" w14:textId="77777777" w:rsidTr="00C93FCE">
        <w:trPr>
          <w:trHeight w:val="20"/>
        </w:trPr>
        <w:tc>
          <w:tcPr>
            <w:tcW w:w="1175" w:type="pct"/>
            <w:shd w:val="clear" w:color="auto" w:fill="FFFFFF"/>
          </w:tcPr>
          <w:p w14:paraId="7436AE15" w14:textId="2911C1E6" w:rsidR="00306602" w:rsidRPr="00BC0FFF" w:rsidRDefault="00306602" w:rsidP="00C93FCE">
            <w:pPr>
              <w:widowControl w:val="0"/>
              <w:spacing w:before="60" w:after="0" w:line="240" w:lineRule="auto"/>
              <w:ind w:left="57" w:right="57"/>
              <w:jc w:val="both"/>
              <w:rPr>
                <w:rFonts w:ascii="Times New Roman" w:hAnsi="Times New Roman" w:cs="Times New Roman"/>
                <w:bCs/>
                <w:sz w:val="24"/>
                <w:szCs w:val="20"/>
              </w:rPr>
            </w:pPr>
            <w:r w:rsidRPr="00BC0FFF">
              <w:rPr>
                <w:rFonts w:ascii="Times New Roman" w:hAnsi="Times New Roman" w:cs="Times New Roman"/>
                <w:bCs/>
                <w:sz w:val="24"/>
                <w:szCs w:val="20"/>
              </w:rPr>
              <w:t>Điều 105. Giấy chứng nhận an toàn hệ thống</w:t>
            </w:r>
          </w:p>
        </w:tc>
        <w:tc>
          <w:tcPr>
            <w:tcW w:w="443" w:type="pct"/>
            <w:shd w:val="clear" w:color="auto" w:fill="FFFFFF"/>
          </w:tcPr>
          <w:p w14:paraId="70C14A5F" w14:textId="294861A8" w:rsidR="00306602" w:rsidRPr="00613A42"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424F0A55" w14:textId="5D5605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A3395">
              <w:rPr>
                <w:rFonts w:ascii="Times New Roman" w:hAnsi="Times New Roman" w:cs="Times New Roman"/>
                <w:bCs/>
                <w:sz w:val="24"/>
                <w:szCs w:val="20"/>
              </w:rPr>
              <w:t>Minh bạch về tiêu chuẩn: Mục 5 cần được cụ thể hóa hơn. Thay vì chỉ ghi "Tiêu chuẩn áp dụng để chứng nhận", đề xuất ghi rõ danh mục các tiêu chuẩn kỹ thuật cụ thể (ví dụ: TCVN, ISO, EN, hoặc các tiêu chuẩn chuyên ngành được Việt Nam chấp nhận) đã được sử dụng làm căn cứ đánh giá. Điều này giúp các cơ quan quản lý và các bên liên quan dễ dàng kiểm tra và giám sát.</w:t>
            </w:r>
          </w:p>
        </w:tc>
        <w:tc>
          <w:tcPr>
            <w:tcW w:w="1768" w:type="pct"/>
            <w:shd w:val="clear" w:color="auto" w:fill="FFFFFF"/>
          </w:tcPr>
          <w:p w14:paraId="414E8D29"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9274160"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Dự thảo quy định nội dung của giấy chứng nhận bao gồm t</w:t>
            </w:r>
            <w:r w:rsidRPr="0081690B">
              <w:rPr>
                <w:rFonts w:ascii="Times New Roman" w:hAnsi="Times New Roman" w:cs="Times New Roman"/>
                <w:bCs/>
                <w:sz w:val="24"/>
                <w:szCs w:val="20"/>
              </w:rPr>
              <w:t>iêu chuẩn áp dụng để chứng nhận</w:t>
            </w:r>
            <w:r>
              <w:rPr>
                <w:rFonts w:ascii="Times New Roman" w:hAnsi="Times New Roman" w:cs="Times New Roman"/>
                <w:bCs/>
                <w:sz w:val="24"/>
                <w:szCs w:val="20"/>
              </w:rPr>
              <w:t xml:space="preserve"> là đầy đủ ý nghĩa và rõ ràng cho chủ đầu tư, tư vấn đánh giá an toàn thưc hiện.</w:t>
            </w:r>
          </w:p>
          <w:p w14:paraId="6D4C4767" w14:textId="56806C8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Trường hợp cần chi tiết hơn nữa để chủ đầu tư theo dõi, quản lý, chủ đầu tư làm rõ trong hợp đồng tư vấn, không cần thiết phải luật hóa chi tiết nội dung này.</w:t>
            </w:r>
          </w:p>
        </w:tc>
      </w:tr>
      <w:tr w:rsidR="00306602" w:rsidRPr="009921B1" w14:paraId="45BD4632" w14:textId="77777777" w:rsidTr="00C93FCE">
        <w:trPr>
          <w:trHeight w:val="20"/>
        </w:trPr>
        <w:tc>
          <w:tcPr>
            <w:tcW w:w="1175" w:type="pct"/>
            <w:shd w:val="clear" w:color="auto" w:fill="FFFFFF"/>
          </w:tcPr>
          <w:p w14:paraId="6C967083" w14:textId="3D3943D6" w:rsidR="00306602" w:rsidRPr="00BC0FFF" w:rsidRDefault="00306602" w:rsidP="00C93FCE">
            <w:pPr>
              <w:widowControl w:val="0"/>
              <w:spacing w:before="60" w:after="0" w:line="240" w:lineRule="auto"/>
              <w:ind w:left="57" w:right="57"/>
              <w:jc w:val="both"/>
              <w:rPr>
                <w:rFonts w:ascii="Times New Roman" w:hAnsi="Times New Roman" w:cs="Times New Roman"/>
                <w:bCs/>
                <w:sz w:val="24"/>
                <w:szCs w:val="20"/>
              </w:rPr>
            </w:pPr>
            <w:r w:rsidRPr="00BC0FFF">
              <w:rPr>
                <w:rFonts w:ascii="Times New Roman" w:hAnsi="Times New Roman" w:cs="Times New Roman"/>
                <w:bCs/>
                <w:sz w:val="24"/>
                <w:szCs w:val="20"/>
              </w:rPr>
              <w:t>Điều 105. Giấy chứng nhận an toàn hệ thống</w:t>
            </w:r>
          </w:p>
        </w:tc>
        <w:tc>
          <w:tcPr>
            <w:tcW w:w="443" w:type="pct"/>
            <w:shd w:val="clear" w:color="auto" w:fill="FFFFFF"/>
          </w:tcPr>
          <w:p w14:paraId="62673FF5" w14:textId="58EC3B50" w:rsidR="00306602" w:rsidRPr="00613A42" w:rsidRDefault="00306602" w:rsidP="00C93FCE">
            <w:pPr>
              <w:widowControl w:val="0"/>
              <w:spacing w:before="60" w:after="0" w:line="240" w:lineRule="auto"/>
              <w:ind w:left="57" w:right="57"/>
              <w:jc w:val="both"/>
              <w:rPr>
                <w:rFonts w:ascii="Times New Roman" w:hAnsi="Times New Roman" w:cs="Times New Roman"/>
                <w:bCs/>
                <w:sz w:val="24"/>
                <w:szCs w:val="20"/>
              </w:rPr>
            </w:pPr>
            <w:r w:rsidRPr="00613A42">
              <w:rPr>
                <w:rFonts w:ascii="Times New Roman" w:hAnsi="Times New Roman" w:cs="Times New Roman"/>
                <w:bCs/>
                <w:sz w:val="24"/>
                <w:szCs w:val="20"/>
              </w:rPr>
              <w:t>Ban QLDA ĐS</w:t>
            </w:r>
          </w:p>
        </w:tc>
        <w:tc>
          <w:tcPr>
            <w:tcW w:w="1614" w:type="pct"/>
            <w:shd w:val="clear" w:color="auto" w:fill="FFFFFF"/>
          </w:tcPr>
          <w:p w14:paraId="3782BA33"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A3395">
              <w:rPr>
                <w:rFonts w:ascii="Times New Roman" w:hAnsi="Times New Roman" w:cs="Times New Roman"/>
                <w:bCs/>
                <w:sz w:val="24"/>
                <w:szCs w:val="20"/>
              </w:rPr>
              <w:t>Hiệu lực của Giấy chứng nhận: Cần bổ sung quy định về thời hạn hiệu lực của Giấy chứng nhận. Việc quy định thời hạn cụ thể (ví dụ: 5 năm, 10 năm) và các điều kiện để gia hạn sẽ giúp đảm bảo an toàn vận hành được kiểm soát chặt chẽ theo thờ</w:t>
            </w:r>
            <w:r>
              <w:rPr>
                <w:rFonts w:ascii="Times New Roman" w:hAnsi="Times New Roman" w:cs="Times New Roman"/>
                <w:bCs/>
                <w:sz w:val="24"/>
                <w:szCs w:val="20"/>
              </w:rPr>
              <w:t>i gian.</w:t>
            </w:r>
          </w:p>
          <w:p w14:paraId="2E0D8946" w14:textId="355418A6"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sidRPr="002A3395">
              <w:rPr>
                <w:rFonts w:ascii="Times New Roman" w:hAnsi="Times New Roman" w:cs="Times New Roman"/>
                <w:bCs/>
                <w:sz w:val="24"/>
                <w:szCs w:val="20"/>
              </w:rPr>
              <w:t>Thẩm quyền cấp và thu hồi: Cần làm rõ thẩm quyền của cơ quan nào sẽ cấp Giấy chứng nhậ</w:t>
            </w:r>
            <w:r>
              <w:rPr>
                <w:rFonts w:ascii="Times New Roman" w:hAnsi="Times New Roman" w:cs="Times New Roman"/>
                <w:bCs/>
                <w:sz w:val="24"/>
                <w:szCs w:val="20"/>
              </w:rPr>
              <w:t>n này</w:t>
            </w:r>
            <w:r w:rsidRPr="002A3395">
              <w:rPr>
                <w:rFonts w:ascii="Times New Roman" w:hAnsi="Times New Roman" w:cs="Times New Roman"/>
                <w:bCs/>
                <w:sz w:val="24"/>
                <w:szCs w:val="20"/>
              </w:rPr>
              <w:t xml:space="preserve"> và trong trường hợp nào thì Giấy chứng nhận có thể bị thu hồi (ví dụ: khi xảy ra sự cố nghiêm trọng do thiếu sót về an toàn, hoặc khi có sự thay đổi lớn về hệ thống mà không được chứng nhận lại).</w:t>
            </w:r>
          </w:p>
        </w:tc>
        <w:tc>
          <w:tcPr>
            <w:tcW w:w="1768" w:type="pct"/>
            <w:shd w:val="clear" w:color="auto" w:fill="FFFFFF"/>
          </w:tcPr>
          <w:p w14:paraId="2F5DFD28"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5E5E0DD1" w14:textId="77777777" w:rsidR="00306602" w:rsidRDefault="00306602" w:rsidP="00C93FCE">
            <w:pPr>
              <w:widowControl w:val="0"/>
              <w:spacing w:before="60" w:after="0" w:line="240" w:lineRule="auto"/>
              <w:ind w:left="57" w:right="57"/>
              <w:jc w:val="both"/>
              <w:rPr>
                <w:rFonts w:ascii="Times New Roman" w:hAnsi="Times New Roman" w:cs="Times New Roman"/>
                <w:bCs/>
                <w:i/>
                <w:sz w:val="24"/>
                <w:szCs w:val="20"/>
              </w:rPr>
            </w:pPr>
            <w:r>
              <w:rPr>
                <w:rFonts w:ascii="Times New Roman" w:hAnsi="Times New Roman" w:cs="Times New Roman"/>
                <w:bCs/>
                <w:sz w:val="24"/>
                <w:szCs w:val="20"/>
              </w:rPr>
              <w:t xml:space="preserve">1. Thẩm quyền cấp giấy chứng nhận đã được quy định tại khoản 4 Điều 105 của dự thảo Thông tư: </w:t>
            </w:r>
            <w:r w:rsidRPr="002A3395">
              <w:rPr>
                <w:rFonts w:ascii="Times New Roman" w:hAnsi="Times New Roman" w:cs="Times New Roman"/>
                <w:bCs/>
                <w:i/>
                <w:sz w:val="24"/>
                <w:szCs w:val="20"/>
              </w:rPr>
              <w:t>“4. Sau khi hoàn thành và kết thúc toàn bộ công việc theo Đề cương đánh giá, chứng nhận, Tư vấn an toàn hệ thống lập báo cáo đánh giá cuối cùng, cấp Giấy chứng nhận an toàn hệ thống.”</w:t>
            </w:r>
            <w:r>
              <w:rPr>
                <w:rFonts w:ascii="Times New Roman" w:hAnsi="Times New Roman" w:cs="Times New Roman"/>
                <w:bCs/>
                <w:i/>
                <w:sz w:val="24"/>
                <w:szCs w:val="20"/>
              </w:rPr>
              <w:t>.</w:t>
            </w:r>
          </w:p>
          <w:p w14:paraId="4F82D527"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2. Theo quy định tại Điều 52 Luật ĐS 2025, </w:t>
            </w:r>
            <w:r w:rsidRPr="0081690B">
              <w:rPr>
                <w:rFonts w:ascii="Times New Roman" w:hAnsi="Times New Roman" w:cs="Times New Roman"/>
                <w:bCs/>
                <w:i/>
                <w:sz w:val="24"/>
                <w:szCs w:val="20"/>
              </w:rPr>
              <w:t>“Đường sắt tốc độ cao, đường sắt cấp I, đường sắt đô thị xây dựng mới hoặc nâng cấp trước khi đưa vào khai thác phải được đánh giá, chứng nhận an toàn hệ thống.”</w:t>
            </w:r>
            <w:r>
              <w:rPr>
                <w:rFonts w:ascii="Times New Roman" w:hAnsi="Times New Roman" w:cs="Times New Roman"/>
                <w:bCs/>
                <w:i/>
                <w:sz w:val="24"/>
                <w:szCs w:val="20"/>
              </w:rPr>
              <w:t xml:space="preserve">. </w:t>
            </w:r>
            <w:r>
              <w:rPr>
                <w:rFonts w:ascii="Times New Roman" w:hAnsi="Times New Roman" w:cs="Times New Roman"/>
                <w:bCs/>
                <w:sz w:val="24"/>
                <w:szCs w:val="20"/>
              </w:rPr>
              <w:t>Như vậy, giấy chứng nhận an toàn hệ thống được cấp là điều kiện để đưa tuyến đường sắt vào khai thác, vận hành. Do đó việc quy định hiệu lực của giấy phép, thu hồi giấy phép là không cần thiết và không phù hợp với thông lệ quốc tế cũng như các tiêu chuẩn liên quan đến việc đánh giá an toàn.</w:t>
            </w:r>
          </w:p>
          <w:p w14:paraId="58581227" w14:textId="7B5B6E25" w:rsidR="00306602" w:rsidRPr="0081690B"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3. Việc bảo đảm an toàn vận hành đã được quy định tại Điều 103 của dự thảo về hệ thống an toàn vận hành. Trường hợp tổ chức vận hành tuyến đường sắt vi phạm quy định, để xảy ra mất an toàn thì cơ quan có thẩm quyền xử lý theo quy định, không liên quan đến giấy chứng nhận lần đầu được cấp.</w:t>
            </w:r>
          </w:p>
        </w:tc>
      </w:tr>
      <w:tr w:rsidR="00306602" w:rsidRPr="009921B1" w14:paraId="46009173" w14:textId="77777777" w:rsidTr="00C93FCE">
        <w:trPr>
          <w:trHeight w:val="20"/>
        </w:trPr>
        <w:tc>
          <w:tcPr>
            <w:tcW w:w="1175" w:type="pct"/>
            <w:shd w:val="clear" w:color="auto" w:fill="FFFFFF"/>
          </w:tcPr>
          <w:p w14:paraId="3EB6D0C3" w14:textId="3F5C1DEE"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Điểm d khoản 3 Điều 108 </w:t>
            </w:r>
            <w:r w:rsidRPr="007C223C">
              <w:rPr>
                <w:rFonts w:ascii="Times New Roman" w:hAnsi="Times New Roman" w:cs="Times New Roman"/>
                <w:bCs/>
                <w:sz w:val="24"/>
                <w:szCs w:val="20"/>
              </w:rPr>
              <w:t>quy định trách nhiệm của Ủy ban nhân dân cấp xã trong việc quản lý đường ngang, cầu chung</w:t>
            </w:r>
            <w:r>
              <w:rPr>
                <w:rFonts w:ascii="Times New Roman" w:hAnsi="Times New Roman" w:cs="Times New Roman"/>
                <w:bCs/>
                <w:sz w:val="24"/>
                <w:szCs w:val="20"/>
              </w:rPr>
              <w:t>:</w:t>
            </w:r>
          </w:p>
          <w:p w14:paraId="21B3489D" w14:textId="2FB95884" w:rsidR="00306602" w:rsidRPr="002711CC"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2711CC">
              <w:rPr>
                <w:rFonts w:ascii="Times New Roman" w:hAnsi="Times New Roman" w:cs="Times New Roman"/>
                <w:bCs/>
                <w:i/>
                <w:iCs/>
                <w:sz w:val="24"/>
                <w:szCs w:val="20"/>
              </w:rPr>
              <w:t>“d) Tổ chức quản lý, bảo trì, duy trì trạng thái hoạt động của đường ngang công cộng trên đường sắt quốc gia theo quy định tại Điều 32 của Thông tư này đối với các đường ngang do ủy ban nhân dân cấp tỉnh cấp giấy phép xây dựng, nâng cấp, cải tạo;”</w:t>
            </w:r>
          </w:p>
        </w:tc>
        <w:tc>
          <w:tcPr>
            <w:tcW w:w="443" w:type="pct"/>
            <w:shd w:val="clear" w:color="auto" w:fill="FFFFFF"/>
          </w:tcPr>
          <w:p w14:paraId="75F56308" w14:textId="6986502A"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7C223C">
              <w:rPr>
                <w:rFonts w:ascii="Times New Roman" w:hAnsi="Times New Roman" w:cs="Times New Roman"/>
                <w:bCs/>
                <w:sz w:val="24"/>
                <w:szCs w:val="20"/>
              </w:rPr>
              <w:t>Vụ VT&amp;ATGT</w:t>
            </w:r>
          </w:p>
        </w:tc>
        <w:tc>
          <w:tcPr>
            <w:tcW w:w="1614" w:type="pct"/>
            <w:shd w:val="clear" w:color="auto" w:fill="FFFFFF"/>
          </w:tcPr>
          <w:p w14:paraId="61E52C5B" w14:textId="6AE78CD2"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Đề nghị cơ quan soạn thảo nghiên cứu, làm rõ tính khả thi khi giao cho Ủy ban nhân dân cấp xã thực hiện quản lý đường ngang công cộng trên đường sắt quốc gia (được đầu tư bằng nguồn vốn nhà nước) do Ủy ban nhân dân cấp tỉnh cấp giấy phép xây dựng, nâng cấp, cải tạo đường ngang.</w:t>
            </w:r>
          </w:p>
        </w:tc>
        <w:tc>
          <w:tcPr>
            <w:tcW w:w="1768" w:type="pct"/>
            <w:shd w:val="clear" w:color="auto" w:fill="FFFFFF"/>
          </w:tcPr>
          <w:p w14:paraId="3D349E7B"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56ECE9C1" w14:textId="49DEABF8"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1. Hiện nay, Nghị định 144/2025/NĐ-CP và Thông tư số 09/2025/NĐ-CP đã thực hiện phân cấp từ Bộ Xây dựng về UBND cấp tỉnh thực hiện chấp thuận chủ trương, cấp giấy phép xây dựng, nâng cấp, cải tạo đối với các đường ngang do địa phương đầu tư. Do đó, việc phân cấp về địa phương quản lý, bảo trì và tổ chức phòng vệ là bảo đảm tính đồng bộ với hệ thống pháp luật hiện hành, đáp ứng chủ trương phân cấp, phân quyền của Chính phủ.</w:t>
            </w:r>
          </w:p>
          <w:p w14:paraId="41D49751" w14:textId="0C6D0668"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2. Về tính khả thi:</w:t>
            </w:r>
          </w:p>
          <w:p w14:paraId="339EDDD2" w14:textId="13BDD2DF"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Ủy ban nhân dân cấp xã hiện nay đã và đang thực hiện hỗ trợ cảnh giới tại các điểm giao cắt đường sắt với đường bộ (tính chất gần giống với phòng vệ tại đường ngang).</w:t>
            </w:r>
          </w:p>
          <w:p w14:paraId="685B6AE1"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Khi UBND cấp tỉnh xác định các điều kiện để cấp giấy phép xây dựng đường ngang sẽ phải xác định nguồn lực về kinh phí bố trí, kiện toàn bộ máy của cấp xã để thực hiện nhiệm vụ.</w:t>
            </w:r>
          </w:p>
          <w:p w14:paraId="2FE3820A" w14:textId="6A165259"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Nhiệm vụ tổ chức quản lý, bảo trì, phòng vệ đường ngang có yêu cầu về tính đặc thù yêu cầu về an toàn, nhưng không hoàn toàn có tính chất quá đặc biệt phải do doanh nghiệp đường sắt thực hiện vì thực tế hiện nay các doanh nghiệp là chủ sở hữu đường ngang chuyên dùng đều tự tổ chức thực hiện quản lý, bảo trì đường ngang của mình.</w:t>
            </w:r>
          </w:p>
        </w:tc>
      </w:tr>
      <w:tr w:rsidR="00306602" w:rsidRPr="009921B1" w14:paraId="57FD417D" w14:textId="77777777" w:rsidTr="00C93FCE">
        <w:trPr>
          <w:trHeight w:val="20"/>
        </w:trPr>
        <w:tc>
          <w:tcPr>
            <w:tcW w:w="1175" w:type="pct"/>
            <w:shd w:val="clear" w:color="auto" w:fill="FFFFFF"/>
          </w:tcPr>
          <w:p w14:paraId="24FD0D39" w14:textId="4BF4F95E"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7C223C">
              <w:rPr>
                <w:rFonts w:ascii="Times New Roman" w:hAnsi="Times New Roman" w:cs="Times New Roman"/>
                <w:bCs/>
                <w:sz w:val="24"/>
                <w:szCs w:val="20"/>
              </w:rPr>
              <w:t>Điểm đ khoản 3 Điều 108 quy định trách nhiệm của Ủy ban nhân dân cấp xã trong việc quản lý đường ngang, cầu chung</w:t>
            </w:r>
            <w:r>
              <w:rPr>
                <w:rFonts w:ascii="Times New Roman" w:hAnsi="Times New Roman" w:cs="Times New Roman"/>
                <w:bCs/>
                <w:sz w:val="24"/>
                <w:szCs w:val="20"/>
              </w:rPr>
              <w:t>:</w:t>
            </w:r>
          </w:p>
          <w:p w14:paraId="74B29D42" w14:textId="42368771" w:rsidR="00306602" w:rsidRPr="007C223C"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7C223C">
              <w:rPr>
                <w:rFonts w:ascii="Times New Roman" w:hAnsi="Times New Roman" w:cs="Times New Roman"/>
                <w:bCs/>
                <w:i/>
                <w:iCs/>
                <w:sz w:val="24"/>
                <w:szCs w:val="20"/>
              </w:rPr>
              <w:t>“đ) Bố trí định biên gác đường ngang và lập hồ sơ quản lý đường ngang do mình quản lý, bảo trì theo quy định của Thông tư này.”</w:t>
            </w:r>
          </w:p>
        </w:tc>
        <w:tc>
          <w:tcPr>
            <w:tcW w:w="443" w:type="pct"/>
            <w:shd w:val="clear" w:color="auto" w:fill="FFFFFF"/>
          </w:tcPr>
          <w:p w14:paraId="0347E863" w14:textId="6E6ED764"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7C223C">
              <w:rPr>
                <w:rFonts w:ascii="Times New Roman" w:hAnsi="Times New Roman" w:cs="Times New Roman"/>
                <w:bCs/>
                <w:sz w:val="24"/>
                <w:szCs w:val="20"/>
              </w:rPr>
              <w:t>Vụ VT&amp;ATGT</w:t>
            </w:r>
          </w:p>
        </w:tc>
        <w:tc>
          <w:tcPr>
            <w:tcW w:w="1614" w:type="pct"/>
            <w:shd w:val="clear" w:color="auto" w:fill="FFFFFF"/>
          </w:tcPr>
          <w:p w14:paraId="06F7A39B" w14:textId="77777777"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7C223C">
              <w:rPr>
                <w:rFonts w:ascii="Times New Roman" w:hAnsi="Times New Roman" w:cs="Times New Roman"/>
                <w:bCs/>
                <w:sz w:val="24"/>
                <w:szCs w:val="20"/>
              </w:rPr>
              <w:t>Đề nghị sửa lại như sau:</w:t>
            </w:r>
          </w:p>
          <w:p w14:paraId="78AAD7BB" w14:textId="5386A2F6"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7C223C">
              <w:rPr>
                <w:rFonts w:ascii="Times New Roman" w:hAnsi="Times New Roman" w:cs="Times New Roman"/>
                <w:bCs/>
                <w:i/>
                <w:iCs/>
                <w:sz w:val="24"/>
                <w:szCs w:val="20"/>
              </w:rPr>
              <w:t>“đ) Bố trí định biên gác đường ngang và lập hồ sơ quản lý đường ngang, cầu chung do Ủy ban nhân dân cấp xã quản lý, bảo trì theo quy định của Thông tư này.”</w:t>
            </w:r>
          </w:p>
        </w:tc>
        <w:tc>
          <w:tcPr>
            <w:tcW w:w="1768" w:type="pct"/>
            <w:shd w:val="clear" w:color="auto" w:fill="FFFFFF"/>
          </w:tcPr>
          <w:p w14:paraId="5DD73BEE"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DB063C4" w14:textId="0614ECF3"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Hiện nay cầu chung trên hệ thống đường sắt chỉ còn lại Cầu Lục Nam và cầu Long Đại. </w:t>
            </w:r>
          </w:p>
          <w:p w14:paraId="4D2322DC" w14:textId="6BD2E8BD"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Q</w:t>
            </w:r>
            <w:r w:rsidRPr="00DB43DD">
              <w:rPr>
                <w:rFonts w:ascii="Times New Roman" w:hAnsi="Times New Roman" w:cs="Times New Roman"/>
                <w:bCs/>
                <w:sz w:val="24"/>
                <w:szCs w:val="20"/>
              </w:rPr>
              <w:t>uy định về cầu chung hiện nay chỉ còn áp dụng cho Cầu Lục Nam và Cầu Long Đại, trong đó, cầu Lục Nam đang đầu tư cầu đường bộ để tách riêng; cầu Long Đại đã có cầu đường bộ, chuẩn bị đầu tư đường đầu cầu để tách riêng.</w:t>
            </w:r>
            <w:r>
              <w:rPr>
                <w:rFonts w:ascii="Times New Roman" w:hAnsi="Times New Roman" w:cs="Times New Roman"/>
                <w:bCs/>
                <w:sz w:val="24"/>
                <w:szCs w:val="20"/>
              </w:rPr>
              <w:t xml:space="preserve"> Vì vậy, sẽ không có loại hình cầu chung do địa phương quản lý.</w:t>
            </w:r>
          </w:p>
        </w:tc>
      </w:tr>
      <w:tr w:rsidR="00306602" w:rsidRPr="009921B1" w14:paraId="443F58D8" w14:textId="77777777" w:rsidTr="00C93FCE">
        <w:trPr>
          <w:trHeight w:val="20"/>
        </w:trPr>
        <w:tc>
          <w:tcPr>
            <w:tcW w:w="1175" w:type="pct"/>
            <w:shd w:val="clear" w:color="auto" w:fill="FFFFFF"/>
          </w:tcPr>
          <w:p w14:paraId="4F385DFE"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Điểm b khoản 5 Điều 108 quy định trách nhiệm của c</w:t>
            </w:r>
            <w:r w:rsidRPr="004333B7">
              <w:rPr>
                <w:rFonts w:ascii="Times New Roman" w:hAnsi="Times New Roman" w:cs="Times New Roman"/>
                <w:bCs/>
                <w:sz w:val="24"/>
                <w:szCs w:val="20"/>
              </w:rPr>
              <w:t>hủ quản lý, sử dụng đường ngang chuyên dùng</w:t>
            </w:r>
            <w:r>
              <w:rPr>
                <w:rFonts w:ascii="Times New Roman" w:hAnsi="Times New Roman" w:cs="Times New Roman"/>
                <w:bCs/>
                <w:sz w:val="24"/>
                <w:szCs w:val="20"/>
              </w:rPr>
              <w:t>:</w:t>
            </w:r>
          </w:p>
          <w:p w14:paraId="20242E60" w14:textId="24190D12" w:rsidR="00306602" w:rsidRPr="004333B7"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4333B7">
              <w:rPr>
                <w:rFonts w:ascii="Times New Roman" w:hAnsi="Times New Roman" w:cs="Times New Roman"/>
                <w:bCs/>
                <w:i/>
                <w:iCs/>
                <w:sz w:val="24"/>
                <w:szCs w:val="20"/>
              </w:rPr>
              <w:t>“b) Bố trí định biên gác đường ngang do mình quản lý, sử dụng;”</w:t>
            </w:r>
          </w:p>
        </w:tc>
        <w:tc>
          <w:tcPr>
            <w:tcW w:w="443" w:type="pct"/>
            <w:shd w:val="clear" w:color="auto" w:fill="FFFFFF"/>
          </w:tcPr>
          <w:p w14:paraId="2713E9B9" w14:textId="6FBA4378" w:rsidR="00306602" w:rsidRPr="007C223C" w:rsidRDefault="00306602"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Vụ VT&amp;ATGT</w:t>
            </w:r>
          </w:p>
        </w:tc>
        <w:tc>
          <w:tcPr>
            <w:tcW w:w="1614" w:type="pct"/>
            <w:shd w:val="clear" w:color="auto" w:fill="FFFFFF"/>
          </w:tcPr>
          <w:p w14:paraId="2DEC1749"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Đề nghị sửa lại như sau:</w:t>
            </w:r>
          </w:p>
          <w:p w14:paraId="41FA37AC" w14:textId="659F8599" w:rsidR="00306602" w:rsidRPr="00386F39"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386F39">
              <w:rPr>
                <w:rFonts w:ascii="Times New Roman" w:hAnsi="Times New Roman" w:cs="Times New Roman"/>
                <w:bCs/>
                <w:i/>
                <w:iCs/>
                <w:sz w:val="24"/>
                <w:szCs w:val="20"/>
              </w:rPr>
              <w:t>“b) Bố trí định biên gác đường ngang</w:t>
            </w:r>
            <w:r>
              <w:rPr>
                <w:rFonts w:ascii="Times New Roman" w:hAnsi="Times New Roman" w:cs="Times New Roman"/>
                <w:bCs/>
                <w:i/>
                <w:iCs/>
                <w:sz w:val="24"/>
                <w:szCs w:val="20"/>
              </w:rPr>
              <w:t>, cầu chung</w:t>
            </w:r>
            <w:r w:rsidRPr="00386F39">
              <w:rPr>
                <w:rFonts w:ascii="Times New Roman" w:hAnsi="Times New Roman" w:cs="Times New Roman"/>
                <w:bCs/>
                <w:i/>
                <w:iCs/>
                <w:sz w:val="24"/>
                <w:szCs w:val="20"/>
              </w:rPr>
              <w:t xml:space="preserve"> do </w:t>
            </w:r>
            <w:r>
              <w:rPr>
                <w:rFonts w:ascii="Times New Roman" w:hAnsi="Times New Roman" w:cs="Times New Roman"/>
                <w:bCs/>
                <w:i/>
                <w:iCs/>
                <w:sz w:val="24"/>
                <w:szCs w:val="20"/>
              </w:rPr>
              <w:t>doanh nghiệp</w:t>
            </w:r>
            <w:r w:rsidRPr="00386F39">
              <w:rPr>
                <w:rFonts w:ascii="Times New Roman" w:hAnsi="Times New Roman" w:cs="Times New Roman"/>
                <w:bCs/>
                <w:i/>
                <w:iCs/>
                <w:sz w:val="24"/>
                <w:szCs w:val="20"/>
              </w:rPr>
              <w:t xml:space="preserve"> quản lý, sử dụng;”</w:t>
            </w:r>
          </w:p>
        </w:tc>
        <w:tc>
          <w:tcPr>
            <w:tcW w:w="1768" w:type="pct"/>
            <w:shd w:val="clear" w:color="auto" w:fill="FFFFFF"/>
          </w:tcPr>
          <w:p w14:paraId="37E0549B"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Về nội dung này, cơ quan soạn thảo giải trình như sau:</w:t>
            </w:r>
          </w:p>
          <w:p w14:paraId="341A99CC" w14:textId="77777777"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 xml:space="preserve">Hiện nay cầu chung trên hệ thống đường sắt chỉ còn lại Cầu Lục Nam và cầu Long Đại. </w:t>
            </w:r>
          </w:p>
          <w:p w14:paraId="373696AE" w14:textId="252E713E" w:rsidR="00306602" w:rsidRDefault="00306602" w:rsidP="00C93FCE">
            <w:pPr>
              <w:widowControl w:val="0"/>
              <w:spacing w:before="60" w:after="0" w:line="240" w:lineRule="auto"/>
              <w:ind w:left="57" w:right="57"/>
              <w:jc w:val="both"/>
              <w:rPr>
                <w:rFonts w:ascii="Times New Roman" w:hAnsi="Times New Roman" w:cs="Times New Roman"/>
                <w:bCs/>
                <w:sz w:val="24"/>
                <w:szCs w:val="20"/>
              </w:rPr>
            </w:pPr>
            <w:r>
              <w:rPr>
                <w:rFonts w:ascii="Times New Roman" w:hAnsi="Times New Roman" w:cs="Times New Roman"/>
                <w:bCs/>
                <w:sz w:val="24"/>
                <w:szCs w:val="20"/>
              </w:rPr>
              <w:t>Q</w:t>
            </w:r>
            <w:r w:rsidRPr="00DB43DD">
              <w:rPr>
                <w:rFonts w:ascii="Times New Roman" w:hAnsi="Times New Roman" w:cs="Times New Roman"/>
                <w:bCs/>
                <w:sz w:val="24"/>
                <w:szCs w:val="20"/>
              </w:rPr>
              <w:t>uy định về cầu chung hiện nay chỉ còn áp dụng cho Cầu Lục Nam và Cầu Long Đại, trong đó, cầu Lục Nam đang đầu tư cầu đường bộ để tách riêng; cầu Long Đại đã có cầu đường bộ, chuẩn bị đầu tư đường đầu cầu để tách riêng.</w:t>
            </w:r>
            <w:r>
              <w:rPr>
                <w:rFonts w:ascii="Times New Roman" w:hAnsi="Times New Roman" w:cs="Times New Roman"/>
                <w:bCs/>
                <w:sz w:val="24"/>
                <w:szCs w:val="20"/>
              </w:rPr>
              <w:t xml:space="preserve"> Vì vậy, sẽ không có loại hình cầu chung trên đường sắt chuyên dùng do doanh nghiệp quản lý.</w:t>
            </w:r>
          </w:p>
        </w:tc>
      </w:tr>
      <w:tr w:rsidR="00306602" w:rsidRPr="009921B1" w14:paraId="34571CC3" w14:textId="77777777" w:rsidTr="00C93FCE">
        <w:trPr>
          <w:trHeight w:val="20"/>
        </w:trPr>
        <w:tc>
          <w:tcPr>
            <w:tcW w:w="1175" w:type="pct"/>
            <w:shd w:val="clear" w:color="auto" w:fill="FFFFFF"/>
          </w:tcPr>
          <w:p w14:paraId="041357CE" w14:textId="2A7091AC" w:rsidR="00306602" w:rsidRPr="00954339" w:rsidRDefault="00306602" w:rsidP="00C93FCE">
            <w:pPr>
              <w:widowControl w:val="0"/>
              <w:spacing w:before="60" w:after="0" w:line="240" w:lineRule="auto"/>
              <w:ind w:left="57" w:right="57"/>
              <w:jc w:val="both"/>
              <w:rPr>
                <w:rFonts w:ascii="Times New Roman" w:hAnsi="Times New Roman" w:cs="Times New Roman"/>
                <w:bCs/>
                <w:sz w:val="24"/>
                <w:szCs w:val="20"/>
              </w:rPr>
            </w:pPr>
            <w:r w:rsidRPr="00954339">
              <w:rPr>
                <w:rFonts w:ascii="Times New Roman" w:hAnsi="Times New Roman" w:cs="Times New Roman"/>
                <w:bCs/>
                <w:sz w:val="24"/>
                <w:szCs w:val="20"/>
              </w:rPr>
              <w:t>Điểm a khoản 1 Điều 112 quy định trách nhiệm của Cục Đường sắt Việt Nam</w:t>
            </w:r>
            <w:r>
              <w:rPr>
                <w:rFonts w:ascii="Times New Roman" w:hAnsi="Times New Roman" w:cs="Times New Roman"/>
                <w:bCs/>
                <w:sz w:val="24"/>
                <w:szCs w:val="20"/>
              </w:rPr>
              <w:t xml:space="preserve"> trong việc phòng, chống thiên tai, sự cố</w:t>
            </w:r>
            <w:r w:rsidRPr="00954339">
              <w:rPr>
                <w:rFonts w:ascii="Times New Roman" w:hAnsi="Times New Roman" w:cs="Times New Roman"/>
                <w:bCs/>
                <w:sz w:val="24"/>
                <w:szCs w:val="20"/>
              </w:rPr>
              <w:t xml:space="preserve">: </w:t>
            </w:r>
          </w:p>
          <w:p w14:paraId="04427767" w14:textId="471ACBBF" w:rsidR="00306602" w:rsidRPr="00954339" w:rsidRDefault="00306602" w:rsidP="00C93FCE">
            <w:pPr>
              <w:widowControl w:val="0"/>
              <w:spacing w:before="60" w:after="0" w:line="240" w:lineRule="auto"/>
              <w:ind w:left="57" w:right="57"/>
              <w:jc w:val="both"/>
              <w:rPr>
                <w:rFonts w:ascii="Times New Roman" w:hAnsi="Times New Roman" w:cs="Times New Roman"/>
                <w:bCs/>
                <w:i/>
                <w:iCs/>
                <w:sz w:val="24"/>
                <w:szCs w:val="20"/>
              </w:rPr>
            </w:pPr>
            <w:r w:rsidRPr="00954339">
              <w:rPr>
                <w:rFonts w:ascii="Times New Roman" w:hAnsi="Times New Roman" w:cs="Times New Roman"/>
                <w:bCs/>
                <w:i/>
                <w:iCs/>
                <w:sz w:val="24"/>
                <w:szCs w:val="20"/>
              </w:rPr>
              <w:t>“a) Tổ chức kiểm tra trách nhiệm, nghĩa vụ của tổ chức, cá nhân liên quan trong việc thực hiện công tác phòng, chống, khắc phục hậu quả thiên tai, sự cố đối với kết cấu hạ tầng đường sắt quốc gia;”</w:t>
            </w:r>
          </w:p>
        </w:tc>
        <w:tc>
          <w:tcPr>
            <w:tcW w:w="443" w:type="pct"/>
            <w:shd w:val="clear" w:color="auto" w:fill="FFFFFF"/>
          </w:tcPr>
          <w:p w14:paraId="04EB6B16" w14:textId="641CC238" w:rsidR="00306602" w:rsidRPr="00CC4A6B" w:rsidRDefault="00306602" w:rsidP="00C93FCE">
            <w:pPr>
              <w:widowControl w:val="0"/>
              <w:spacing w:before="60" w:after="0" w:line="240" w:lineRule="auto"/>
              <w:ind w:left="57" w:right="57"/>
              <w:jc w:val="both"/>
              <w:rPr>
                <w:rFonts w:ascii="Times New Roman" w:hAnsi="Times New Roman" w:cs="Times New Roman"/>
                <w:bCs/>
                <w:sz w:val="24"/>
                <w:szCs w:val="20"/>
              </w:rPr>
            </w:pPr>
            <w:r w:rsidRPr="00D4210D">
              <w:rPr>
                <w:rFonts w:ascii="Times New Roman" w:hAnsi="Times New Roman" w:cs="Times New Roman"/>
                <w:bCs/>
                <w:sz w:val="24"/>
                <w:szCs w:val="20"/>
              </w:rPr>
              <w:t>Vụ VT&amp;ATGT</w:t>
            </w:r>
          </w:p>
        </w:tc>
        <w:tc>
          <w:tcPr>
            <w:tcW w:w="1614" w:type="pct"/>
            <w:shd w:val="clear" w:color="auto" w:fill="FFFFFF"/>
          </w:tcPr>
          <w:p w14:paraId="26794902" w14:textId="77777777" w:rsidR="00306602" w:rsidRPr="00572F92" w:rsidRDefault="00306602" w:rsidP="00C93FCE">
            <w:pPr>
              <w:widowControl w:val="0"/>
              <w:spacing w:before="60" w:after="0" w:line="240" w:lineRule="auto"/>
              <w:ind w:left="57" w:right="57"/>
              <w:jc w:val="both"/>
              <w:rPr>
                <w:rFonts w:ascii="Times New Roman" w:hAnsi="Times New Roman" w:cs="Times New Roman"/>
                <w:bCs/>
                <w:sz w:val="24"/>
                <w:szCs w:val="20"/>
              </w:rPr>
            </w:pPr>
            <w:r w:rsidRPr="00572F92">
              <w:rPr>
                <w:rFonts w:ascii="Times New Roman" w:hAnsi="Times New Roman" w:cs="Times New Roman"/>
                <w:bCs/>
                <w:sz w:val="24"/>
                <w:szCs w:val="20"/>
              </w:rPr>
              <w:t xml:space="preserve">Đề nghị sửa lại như sau: </w:t>
            </w:r>
          </w:p>
          <w:p w14:paraId="5677D51A" w14:textId="563E87CC" w:rsidR="00306602" w:rsidRDefault="00306602" w:rsidP="00C93FCE">
            <w:pPr>
              <w:widowControl w:val="0"/>
              <w:spacing w:before="60" w:after="0" w:line="240" w:lineRule="auto"/>
              <w:ind w:left="57" w:right="57"/>
              <w:jc w:val="both"/>
              <w:rPr>
                <w:rFonts w:ascii="Times New Roman" w:hAnsi="Times New Roman" w:cs="Times New Roman"/>
                <w:bCs/>
                <w:color w:val="0000CC"/>
                <w:sz w:val="24"/>
                <w:szCs w:val="20"/>
              </w:rPr>
            </w:pPr>
            <w:r w:rsidRPr="00954339">
              <w:rPr>
                <w:rFonts w:ascii="Times New Roman" w:hAnsi="Times New Roman" w:cs="Times New Roman"/>
                <w:bCs/>
                <w:i/>
                <w:iCs/>
                <w:sz w:val="24"/>
                <w:szCs w:val="20"/>
              </w:rPr>
              <w:t xml:space="preserve">“a) </w:t>
            </w:r>
            <w:r>
              <w:rPr>
                <w:rFonts w:ascii="Times New Roman" w:hAnsi="Times New Roman" w:cs="Times New Roman"/>
                <w:bCs/>
                <w:i/>
                <w:iCs/>
                <w:sz w:val="24"/>
                <w:szCs w:val="20"/>
              </w:rPr>
              <w:t>Chủ trì, phối hợp với Ban Chỉ huy phòng, chống thiên tai và Tìm kiếm cứu nạn Bộ Xây dựng t</w:t>
            </w:r>
            <w:r w:rsidRPr="00954339">
              <w:rPr>
                <w:rFonts w:ascii="Times New Roman" w:hAnsi="Times New Roman" w:cs="Times New Roman"/>
                <w:bCs/>
                <w:i/>
                <w:iCs/>
                <w:sz w:val="24"/>
                <w:szCs w:val="20"/>
              </w:rPr>
              <w:t>ổ chức kiểm tra trách nhiệm, nghĩa vụ của tổ chức, cá nhân liên quan trong việc thực hiện công tác phòng, chống, khắc phục hậu quả thiên tai, sự cố đối với kết cấu hạ tầng đường sắt quốc gia;”</w:t>
            </w:r>
          </w:p>
        </w:tc>
        <w:tc>
          <w:tcPr>
            <w:tcW w:w="1768" w:type="pct"/>
            <w:shd w:val="clear" w:color="auto" w:fill="FFFFFF"/>
          </w:tcPr>
          <w:p w14:paraId="4E37236E" w14:textId="72A10491" w:rsidR="00306602" w:rsidRPr="009921B1" w:rsidRDefault="00306602" w:rsidP="00C93FCE">
            <w:pPr>
              <w:widowControl w:val="0"/>
              <w:spacing w:before="60" w:after="0" w:line="240" w:lineRule="auto"/>
              <w:ind w:left="57" w:right="57"/>
              <w:jc w:val="both"/>
              <w:rPr>
                <w:rFonts w:ascii="Times New Roman" w:hAnsi="Times New Roman" w:cs="Times New Roman"/>
                <w:bCs/>
                <w:color w:val="0000CC"/>
                <w:sz w:val="24"/>
                <w:szCs w:val="20"/>
              </w:rPr>
            </w:pPr>
            <w:r w:rsidRPr="00D4210D">
              <w:rPr>
                <w:rFonts w:ascii="Times New Roman" w:hAnsi="Times New Roman" w:cs="Times New Roman"/>
                <w:bCs/>
                <w:sz w:val="24"/>
                <w:szCs w:val="20"/>
              </w:rPr>
              <w:t xml:space="preserve">Về nội dung này cơ quan soạn thảo tiếp thu, </w:t>
            </w:r>
            <w:r>
              <w:rPr>
                <w:rFonts w:ascii="Times New Roman" w:hAnsi="Times New Roman" w:cs="Times New Roman"/>
                <w:bCs/>
                <w:sz w:val="24"/>
                <w:szCs w:val="20"/>
              </w:rPr>
              <w:t>chỉnh sửa dự thảo, đồng thời cập nhật lại tên của Ban chỉ huy cho đồng bộ với Nghị định số 200/2025/NĐ-CP.</w:t>
            </w:r>
          </w:p>
        </w:tc>
      </w:tr>
    </w:tbl>
    <w:p w14:paraId="37B70875" w14:textId="77777777" w:rsidR="006A5D7E" w:rsidRDefault="006A5D7E" w:rsidP="0081690B">
      <w:pPr>
        <w:widowControl w:val="0"/>
        <w:spacing w:after="0" w:line="240" w:lineRule="auto"/>
        <w:rPr>
          <w:rFonts w:ascii="Times New Roman" w:hAnsi="Times New Roman" w:cs="Times New Roman"/>
          <w:b/>
          <w:bCs/>
          <w:color w:val="0000CC"/>
          <w:sz w:val="24"/>
          <w:szCs w:val="20"/>
        </w:rPr>
      </w:pPr>
    </w:p>
    <w:sectPr w:rsidR="006A5D7E" w:rsidSect="00C17754">
      <w:pgSz w:w="16840" w:h="11907" w:orient="landscape" w:code="9"/>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1A395" w14:textId="77777777" w:rsidR="00B653DC" w:rsidRDefault="00B653DC" w:rsidP="00B709F0">
      <w:pPr>
        <w:spacing w:after="0" w:line="240" w:lineRule="auto"/>
      </w:pPr>
      <w:r>
        <w:separator/>
      </w:r>
    </w:p>
  </w:endnote>
  <w:endnote w:type="continuationSeparator" w:id="0">
    <w:p w14:paraId="72125D45" w14:textId="77777777" w:rsidR="00B653DC" w:rsidRDefault="00B653DC" w:rsidP="00B7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4E145" w14:textId="77777777" w:rsidR="00B653DC" w:rsidRDefault="00B653DC" w:rsidP="00B709F0">
      <w:pPr>
        <w:spacing w:after="0" w:line="240" w:lineRule="auto"/>
      </w:pPr>
      <w:r>
        <w:separator/>
      </w:r>
    </w:p>
  </w:footnote>
  <w:footnote w:type="continuationSeparator" w:id="0">
    <w:p w14:paraId="7BB3432E" w14:textId="77777777" w:rsidR="00B653DC" w:rsidRDefault="00B653DC" w:rsidP="00B7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7684"/>
      <w:docPartObj>
        <w:docPartGallery w:val="Page Numbers (Top of Page)"/>
        <w:docPartUnique/>
      </w:docPartObj>
    </w:sdtPr>
    <w:sdtEndPr>
      <w:rPr>
        <w:rFonts w:ascii="Times New Roman" w:hAnsi="Times New Roman" w:cs="Times New Roman"/>
        <w:noProof/>
        <w:sz w:val="24"/>
      </w:rPr>
    </w:sdtEndPr>
    <w:sdtContent>
      <w:p w14:paraId="1F5A268E" w14:textId="2C6D0EFE" w:rsidR="00B653DC" w:rsidRPr="00920BA2" w:rsidRDefault="00B653DC">
        <w:pPr>
          <w:pStyle w:val="Header"/>
          <w:jc w:val="center"/>
          <w:rPr>
            <w:rFonts w:ascii="Times New Roman" w:hAnsi="Times New Roman" w:cs="Times New Roman"/>
            <w:sz w:val="24"/>
          </w:rPr>
        </w:pPr>
        <w:r w:rsidRPr="00920BA2">
          <w:rPr>
            <w:rFonts w:ascii="Times New Roman" w:hAnsi="Times New Roman" w:cs="Times New Roman"/>
            <w:sz w:val="24"/>
          </w:rPr>
          <w:fldChar w:fldCharType="begin"/>
        </w:r>
        <w:r w:rsidRPr="00920BA2">
          <w:rPr>
            <w:rFonts w:ascii="Times New Roman" w:hAnsi="Times New Roman" w:cs="Times New Roman"/>
            <w:sz w:val="24"/>
          </w:rPr>
          <w:instrText xml:space="preserve"> PAGE   \* MERGEFORMAT </w:instrText>
        </w:r>
        <w:r w:rsidRPr="00920BA2">
          <w:rPr>
            <w:rFonts w:ascii="Times New Roman" w:hAnsi="Times New Roman" w:cs="Times New Roman"/>
            <w:sz w:val="24"/>
          </w:rPr>
          <w:fldChar w:fldCharType="separate"/>
        </w:r>
        <w:r w:rsidR="004C29DE">
          <w:rPr>
            <w:rFonts w:ascii="Times New Roman" w:hAnsi="Times New Roman" w:cs="Times New Roman"/>
            <w:noProof/>
            <w:sz w:val="24"/>
          </w:rPr>
          <w:t>16</w:t>
        </w:r>
        <w:r w:rsidRPr="00920BA2">
          <w:rPr>
            <w:rFonts w:ascii="Times New Roman" w:hAnsi="Times New Roman" w:cs="Times New Roman"/>
            <w:noProof/>
            <w:sz w:val="24"/>
          </w:rPr>
          <w:fldChar w:fldCharType="end"/>
        </w:r>
      </w:p>
    </w:sdtContent>
  </w:sdt>
  <w:p w14:paraId="6085DD71" w14:textId="77777777" w:rsidR="00B653DC" w:rsidRDefault="00B653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32DA8"/>
    <w:multiLevelType w:val="hybridMultilevel"/>
    <w:tmpl w:val="AD8A02D8"/>
    <w:lvl w:ilvl="0" w:tplc="724E989A">
      <w:start w:val="1"/>
      <w:numFmt w:val="decimal"/>
      <w:suff w:val="space"/>
      <w:lvlText w:val="%1."/>
      <w:lvlJc w:val="left"/>
      <w:pPr>
        <w:ind w:left="0" w:firstLine="567"/>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785021"/>
    <w:multiLevelType w:val="hybridMultilevel"/>
    <w:tmpl w:val="980C811E"/>
    <w:lvl w:ilvl="0" w:tplc="E86E5B40">
      <w:start w:val="1"/>
      <w:numFmt w:val="decimal"/>
      <w:lvlText w:val="%1."/>
      <w:lvlJc w:val="left"/>
      <w:pPr>
        <w:ind w:left="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BC9432">
      <w:start w:val="1"/>
      <w:numFmt w:val="lowerLetter"/>
      <w:lvlText w:val="%2"/>
      <w:lvlJc w:val="left"/>
      <w:pPr>
        <w:ind w:left="2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6EE3D4">
      <w:start w:val="1"/>
      <w:numFmt w:val="lowerRoman"/>
      <w:lvlText w:val="%3"/>
      <w:lvlJc w:val="left"/>
      <w:pPr>
        <w:ind w:left="2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68BC98">
      <w:start w:val="1"/>
      <w:numFmt w:val="decimal"/>
      <w:lvlText w:val="%4"/>
      <w:lvlJc w:val="left"/>
      <w:pPr>
        <w:ind w:left="3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E6658A">
      <w:start w:val="1"/>
      <w:numFmt w:val="lowerLetter"/>
      <w:lvlText w:val="%5"/>
      <w:lvlJc w:val="left"/>
      <w:pPr>
        <w:ind w:left="4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0EB27E">
      <w:start w:val="1"/>
      <w:numFmt w:val="lowerRoman"/>
      <w:lvlText w:val="%6"/>
      <w:lvlJc w:val="left"/>
      <w:pPr>
        <w:ind w:left="4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D07946">
      <w:start w:val="1"/>
      <w:numFmt w:val="decimal"/>
      <w:lvlText w:val="%7"/>
      <w:lvlJc w:val="left"/>
      <w:pPr>
        <w:ind w:left="5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96ADE2">
      <w:start w:val="1"/>
      <w:numFmt w:val="lowerLetter"/>
      <w:lvlText w:val="%8"/>
      <w:lvlJc w:val="left"/>
      <w:pPr>
        <w:ind w:left="6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260958">
      <w:start w:val="1"/>
      <w:numFmt w:val="lowerRoman"/>
      <w:lvlText w:val="%9"/>
      <w:lvlJc w:val="left"/>
      <w:pPr>
        <w:ind w:left="7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F9A"/>
    <w:rsid w:val="00003717"/>
    <w:rsid w:val="00004743"/>
    <w:rsid w:val="00012A47"/>
    <w:rsid w:val="00012A87"/>
    <w:rsid w:val="00013F00"/>
    <w:rsid w:val="00022F9F"/>
    <w:rsid w:val="00030F72"/>
    <w:rsid w:val="000328BA"/>
    <w:rsid w:val="00034345"/>
    <w:rsid w:val="00050F6F"/>
    <w:rsid w:val="00052523"/>
    <w:rsid w:val="000542AE"/>
    <w:rsid w:val="000632D1"/>
    <w:rsid w:val="00064011"/>
    <w:rsid w:val="0006646F"/>
    <w:rsid w:val="00071729"/>
    <w:rsid w:val="000731FF"/>
    <w:rsid w:val="0008307B"/>
    <w:rsid w:val="000A1E35"/>
    <w:rsid w:val="000A3551"/>
    <w:rsid w:val="000A484B"/>
    <w:rsid w:val="000B3020"/>
    <w:rsid w:val="000C4384"/>
    <w:rsid w:val="000C50F5"/>
    <w:rsid w:val="000D3207"/>
    <w:rsid w:val="001033F8"/>
    <w:rsid w:val="00103B98"/>
    <w:rsid w:val="00105F7B"/>
    <w:rsid w:val="00106328"/>
    <w:rsid w:val="00110AB0"/>
    <w:rsid w:val="001118B5"/>
    <w:rsid w:val="00112162"/>
    <w:rsid w:val="00112E02"/>
    <w:rsid w:val="001147B2"/>
    <w:rsid w:val="00115D6E"/>
    <w:rsid w:val="00117D5E"/>
    <w:rsid w:val="00127BCB"/>
    <w:rsid w:val="00136939"/>
    <w:rsid w:val="001373FD"/>
    <w:rsid w:val="00144DAF"/>
    <w:rsid w:val="00157316"/>
    <w:rsid w:val="00161E5A"/>
    <w:rsid w:val="0016506B"/>
    <w:rsid w:val="00166FAB"/>
    <w:rsid w:val="0017647F"/>
    <w:rsid w:val="00191BCD"/>
    <w:rsid w:val="001948C8"/>
    <w:rsid w:val="00196D67"/>
    <w:rsid w:val="001A2E24"/>
    <w:rsid w:val="001A3EF3"/>
    <w:rsid w:val="001A77F5"/>
    <w:rsid w:val="001B3484"/>
    <w:rsid w:val="001C1E78"/>
    <w:rsid w:val="001C22A9"/>
    <w:rsid w:val="001D2803"/>
    <w:rsid w:val="001D3D5B"/>
    <w:rsid w:val="001D4F30"/>
    <w:rsid w:val="001E0439"/>
    <w:rsid w:val="001E2991"/>
    <w:rsid w:val="001F6470"/>
    <w:rsid w:val="00202936"/>
    <w:rsid w:val="00203B38"/>
    <w:rsid w:val="0020513D"/>
    <w:rsid w:val="00205B81"/>
    <w:rsid w:val="00207897"/>
    <w:rsid w:val="002104A9"/>
    <w:rsid w:val="0021549E"/>
    <w:rsid w:val="00217298"/>
    <w:rsid w:val="00222FE9"/>
    <w:rsid w:val="00231717"/>
    <w:rsid w:val="0023275A"/>
    <w:rsid w:val="002413FB"/>
    <w:rsid w:val="00251F64"/>
    <w:rsid w:val="0025235B"/>
    <w:rsid w:val="002538BD"/>
    <w:rsid w:val="00254A01"/>
    <w:rsid w:val="00262290"/>
    <w:rsid w:val="00264175"/>
    <w:rsid w:val="002667CE"/>
    <w:rsid w:val="00270C4F"/>
    <w:rsid w:val="002711CC"/>
    <w:rsid w:val="00271D5D"/>
    <w:rsid w:val="00280119"/>
    <w:rsid w:val="0028178F"/>
    <w:rsid w:val="00281949"/>
    <w:rsid w:val="002952A5"/>
    <w:rsid w:val="0029760C"/>
    <w:rsid w:val="002A0E1C"/>
    <w:rsid w:val="002A3287"/>
    <w:rsid w:val="002A3395"/>
    <w:rsid w:val="002A5ACF"/>
    <w:rsid w:val="002D33BC"/>
    <w:rsid w:val="002D399C"/>
    <w:rsid w:val="002D58F9"/>
    <w:rsid w:val="002E14DC"/>
    <w:rsid w:val="002F0DFB"/>
    <w:rsid w:val="00304AC9"/>
    <w:rsid w:val="00305CA8"/>
    <w:rsid w:val="00306602"/>
    <w:rsid w:val="00311A37"/>
    <w:rsid w:val="003154EE"/>
    <w:rsid w:val="00316272"/>
    <w:rsid w:val="003226A0"/>
    <w:rsid w:val="00326496"/>
    <w:rsid w:val="00327452"/>
    <w:rsid w:val="00330CFF"/>
    <w:rsid w:val="00337CBB"/>
    <w:rsid w:val="003408CF"/>
    <w:rsid w:val="00340B35"/>
    <w:rsid w:val="003438BA"/>
    <w:rsid w:val="00345881"/>
    <w:rsid w:val="00346ECC"/>
    <w:rsid w:val="003527EA"/>
    <w:rsid w:val="0035478E"/>
    <w:rsid w:val="0035569D"/>
    <w:rsid w:val="00357754"/>
    <w:rsid w:val="00357847"/>
    <w:rsid w:val="00363566"/>
    <w:rsid w:val="003704A7"/>
    <w:rsid w:val="00370DC4"/>
    <w:rsid w:val="00372228"/>
    <w:rsid w:val="003762E3"/>
    <w:rsid w:val="00377D0E"/>
    <w:rsid w:val="00381E7C"/>
    <w:rsid w:val="00382249"/>
    <w:rsid w:val="00382E9B"/>
    <w:rsid w:val="00385DC2"/>
    <w:rsid w:val="00386F39"/>
    <w:rsid w:val="0038724A"/>
    <w:rsid w:val="00391F75"/>
    <w:rsid w:val="003A30F9"/>
    <w:rsid w:val="003A5CF1"/>
    <w:rsid w:val="003B6169"/>
    <w:rsid w:val="003B6C0E"/>
    <w:rsid w:val="003B74D8"/>
    <w:rsid w:val="003C72A3"/>
    <w:rsid w:val="003D22F6"/>
    <w:rsid w:val="003D288D"/>
    <w:rsid w:val="003D40D3"/>
    <w:rsid w:val="003D712C"/>
    <w:rsid w:val="003E2D48"/>
    <w:rsid w:val="003E3FA1"/>
    <w:rsid w:val="003E712E"/>
    <w:rsid w:val="003F2AF5"/>
    <w:rsid w:val="00401B84"/>
    <w:rsid w:val="004047AA"/>
    <w:rsid w:val="0040752F"/>
    <w:rsid w:val="0041093E"/>
    <w:rsid w:val="00411725"/>
    <w:rsid w:val="00414C38"/>
    <w:rsid w:val="004269BD"/>
    <w:rsid w:val="004333B7"/>
    <w:rsid w:val="00433F39"/>
    <w:rsid w:val="00446BA1"/>
    <w:rsid w:val="00447D8F"/>
    <w:rsid w:val="0045273A"/>
    <w:rsid w:val="00454242"/>
    <w:rsid w:val="00454731"/>
    <w:rsid w:val="0046037B"/>
    <w:rsid w:val="00460617"/>
    <w:rsid w:val="00474080"/>
    <w:rsid w:val="00474248"/>
    <w:rsid w:val="00476430"/>
    <w:rsid w:val="00484B63"/>
    <w:rsid w:val="00487DB2"/>
    <w:rsid w:val="004A1801"/>
    <w:rsid w:val="004A4B69"/>
    <w:rsid w:val="004B09C9"/>
    <w:rsid w:val="004B4BFD"/>
    <w:rsid w:val="004C064A"/>
    <w:rsid w:val="004C29DE"/>
    <w:rsid w:val="004C5BA2"/>
    <w:rsid w:val="004E29A0"/>
    <w:rsid w:val="004F26C2"/>
    <w:rsid w:val="004F76B5"/>
    <w:rsid w:val="00504AB2"/>
    <w:rsid w:val="005117C1"/>
    <w:rsid w:val="00530356"/>
    <w:rsid w:val="005319ED"/>
    <w:rsid w:val="0053409A"/>
    <w:rsid w:val="00534793"/>
    <w:rsid w:val="0053481A"/>
    <w:rsid w:val="00535AA7"/>
    <w:rsid w:val="005435FA"/>
    <w:rsid w:val="00545BB1"/>
    <w:rsid w:val="00546B24"/>
    <w:rsid w:val="00554F95"/>
    <w:rsid w:val="00555019"/>
    <w:rsid w:val="00555DD0"/>
    <w:rsid w:val="00556AEF"/>
    <w:rsid w:val="00561FA5"/>
    <w:rsid w:val="0056400D"/>
    <w:rsid w:val="00566870"/>
    <w:rsid w:val="00572F92"/>
    <w:rsid w:val="005922EC"/>
    <w:rsid w:val="00592DE4"/>
    <w:rsid w:val="005A1EC2"/>
    <w:rsid w:val="005B5C34"/>
    <w:rsid w:val="005B69A8"/>
    <w:rsid w:val="005D5819"/>
    <w:rsid w:val="005E186D"/>
    <w:rsid w:val="005E62F2"/>
    <w:rsid w:val="005E6490"/>
    <w:rsid w:val="005E6B79"/>
    <w:rsid w:val="006120BD"/>
    <w:rsid w:val="006134AA"/>
    <w:rsid w:val="0061617B"/>
    <w:rsid w:val="006176DA"/>
    <w:rsid w:val="006200BA"/>
    <w:rsid w:val="00626C7E"/>
    <w:rsid w:val="0064094F"/>
    <w:rsid w:val="00643CBF"/>
    <w:rsid w:val="00644C95"/>
    <w:rsid w:val="00650474"/>
    <w:rsid w:val="006514A6"/>
    <w:rsid w:val="00660C74"/>
    <w:rsid w:val="006640AA"/>
    <w:rsid w:val="00671B62"/>
    <w:rsid w:val="00672A94"/>
    <w:rsid w:val="0067452A"/>
    <w:rsid w:val="006768C4"/>
    <w:rsid w:val="006769D7"/>
    <w:rsid w:val="00682281"/>
    <w:rsid w:val="006954F0"/>
    <w:rsid w:val="00696C1C"/>
    <w:rsid w:val="006A5D7E"/>
    <w:rsid w:val="006B25BA"/>
    <w:rsid w:val="006B2668"/>
    <w:rsid w:val="006B369B"/>
    <w:rsid w:val="006B67CA"/>
    <w:rsid w:val="006B7BE7"/>
    <w:rsid w:val="006C1A10"/>
    <w:rsid w:val="006C7911"/>
    <w:rsid w:val="006E659C"/>
    <w:rsid w:val="00706992"/>
    <w:rsid w:val="00707189"/>
    <w:rsid w:val="0071666C"/>
    <w:rsid w:val="0071699B"/>
    <w:rsid w:val="007236EE"/>
    <w:rsid w:val="007248A4"/>
    <w:rsid w:val="0072566C"/>
    <w:rsid w:val="00736D7A"/>
    <w:rsid w:val="007508D2"/>
    <w:rsid w:val="007557C6"/>
    <w:rsid w:val="007619D2"/>
    <w:rsid w:val="007634CF"/>
    <w:rsid w:val="007662DD"/>
    <w:rsid w:val="00771366"/>
    <w:rsid w:val="007774FB"/>
    <w:rsid w:val="007813DB"/>
    <w:rsid w:val="007870E9"/>
    <w:rsid w:val="007A1962"/>
    <w:rsid w:val="007A44B2"/>
    <w:rsid w:val="007A6A2C"/>
    <w:rsid w:val="007B2B8C"/>
    <w:rsid w:val="007B3A32"/>
    <w:rsid w:val="007B3BD2"/>
    <w:rsid w:val="007B7DCF"/>
    <w:rsid w:val="007C1513"/>
    <w:rsid w:val="007C223C"/>
    <w:rsid w:val="007C721A"/>
    <w:rsid w:val="007D0BFB"/>
    <w:rsid w:val="007D1074"/>
    <w:rsid w:val="007D3528"/>
    <w:rsid w:val="007D4AFE"/>
    <w:rsid w:val="007D681C"/>
    <w:rsid w:val="007D79F1"/>
    <w:rsid w:val="007E7B93"/>
    <w:rsid w:val="007F0BD5"/>
    <w:rsid w:val="007F1681"/>
    <w:rsid w:val="007F20FE"/>
    <w:rsid w:val="007F2DB0"/>
    <w:rsid w:val="007F6A4C"/>
    <w:rsid w:val="00800D56"/>
    <w:rsid w:val="008021A4"/>
    <w:rsid w:val="00810763"/>
    <w:rsid w:val="0081566D"/>
    <w:rsid w:val="0081690B"/>
    <w:rsid w:val="00822FF8"/>
    <w:rsid w:val="00823392"/>
    <w:rsid w:val="00831AF4"/>
    <w:rsid w:val="00832CCE"/>
    <w:rsid w:val="00833331"/>
    <w:rsid w:val="0083693F"/>
    <w:rsid w:val="008413CD"/>
    <w:rsid w:val="0085371F"/>
    <w:rsid w:val="00855816"/>
    <w:rsid w:val="00855B0F"/>
    <w:rsid w:val="008569D1"/>
    <w:rsid w:val="0086462E"/>
    <w:rsid w:val="00864A52"/>
    <w:rsid w:val="0086731B"/>
    <w:rsid w:val="0087504F"/>
    <w:rsid w:val="00876073"/>
    <w:rsid w:val="00876C5C"/>
    <w:rsid w:val="00891A3B"/>
    <w:rsid w:val="008A2750"/>
    <w:rsid w:val="008A4A11"/>
    <w:rsid w:val="008A5CE4"/>
    <w:rsid w:val="008B090A"/>
    <w:rsid w:val="008B24F6"/>
    <w:rsid w:val="008B7A6D"/>
    <w:rsid w:val="008C1408"/>
    <w:rsid w:val="008C5081"/>
    <w:rsid w:val="008D4838"/>
    <w:rsid w:val="008D63CC"/>
    <w:rsid w:val="008D763E"/>
    <w:rsid w:val="008E0596"/>
    <w:rsid w:val="008E2212"/>
    <w:rsid w:val="008E3E85"/>
    <w:rsid w:val="008E55CF"/>
    <w:rsid w:val="008E73F8"/>
    <w:rsid w:val="008F15E8"/>
    <w:rsid w:val="008F3C3A"/>
    <w:rsid w:val="009031A1"/>
    <w:rsid w:val="00903238"/>
    <w:rsid w:val="00907725"/>
    <w:rsid w:val="00920BA2"/>
    <w:rsid w:val="009235ED"/>
    <w:rsid w:val="00953ECC"/>
    <w:rsid w:val="00954339"/>
    <w:rsid w:val="00956274"/>
    <w:rsid w:val="009568F5"/>
    <w:rsid w:val="00961AA8"/>
    <w:rsid w:val="009650C2"/>
    <w:rsid w:val="00966AB9"/>
    <w:rsid w:val="009741D7"/>
    <w:rsid w:val="00975EF8"/>
    <w:rsid w:val="0098763C"/>
    <w:rsid w:val="009878A1"/>
    <w:rsid w:val="009921B1"/>
    <w:rsid w:val="0099338B"/>
    <w:rsid w:val="009A5C5F"/>
    <w:rsid w:val="009B6866"/>
    <w:rsid w:val="009C13A5"/>
    <w:rsid w:val="009C31A4"/>
    <w:rsid w:val="009C687B"/>
    <w:rsid w:val="009D5C9F"/>
    <w:rsid w:val="009D5CCD"/>
    <w:rsid w:val="009E24B8"/>
    <w:rsid w:val="009E6040"/>
    <w:rsid w:val="009F17D7"/>
    <w:rsid w:val="00A0546B"/>
    <w:rsid w:val="00A06380"/>
    <w:rsid w:val="00A07472"/>
    <w:rsid w:val="00A1450A"/>
    <w:rsid w:val="00A228F3"/>
    <w:rsid w:val="00A312C3"/>
    <w:rsid w:val="00A331AF"/>
    <w:rsid w:val="00A36744"/>
    <w:rsid w:val="00A423F4"/>
    <w:rsid w:val="00A4677C"/>
    <w:rsid w:val="00A52EB5"/>
    <w:rsid w:val="00A5792F"/>
    <w:rsid w:val="00A57F97"/>
    <w:rsid w:val="00A62CB8"/>
    <w:rsid w:val="00A63445"/>
    <w:rsid w:val="00A72B08"/>
    <w:rsid w:val="00A7305C"/>
    <w:rsid w:val="00A73295"/>
    <w:rsid w:val="00A83CDC"/>
    <w:rsid w:val="00A945DF"/>
    <w:rsid w:val="00A97566"/>
    <w:rsid w:val="00AA138C"/>
    <w:rsid w:val="00AA251A"/>
    <w:rsid w:val="00AA5C71"/>
    <w:rsid w:val="00AB057F"/>
    <w:rsid w:val="00AB5987"/>
    <w:rsid w:val="00AB7D7A"/>
    <w:rsid w:val="00AC4FD7"/>
    <w:rsid w:val="00AC6B89"/>
    <w:rsid w:val="00AD2774"/>
    <w:rsid w:val="00AE12B4"/>
    <w:rsid w:val="00AE7F5B"/>
    <w:rsid w:val="00AF605C"/>
    <w:rsid w:val="00AF6F08"/>
    <w:rsid w:val="00B10E6F"/>
    <w:rsid w:val="00B11411"/>
    <w:rsid w:val="00B133E2"/>
    <w:rsid w:val="00B220CB"/>
    <w:rsid w:val="00B40D53"/>
    <w:rsid w:val="00B429AE"/>
    <w:rsid w:val="00B448B0"/>
    <w:rsid w:val="00B4613A"/>
    <w:rsid w:val="00B47C5A"/>
    <w:rsid w:val="00B47DEF"/>
    <w:rsid w:val="00B51486"/>
    <w:rsid w:val="00B56043"/>
    <w:rsid w:val="00B621DD"/>
    <w:rsid w:val="00B63F78"/>
    <w:rsid w:val="00B64C2C"/>
    <w:rsid w:val="00B653DC"/>
    <w:rsid w:val="00B655B7"/>
    <w:rsid w:val="00B66742"/>
    <w:rsid w:val="00B67B86"/>
    <w:rsid w:val="00B709F0"/>
    <w:rsid w:val="00B756EF"/>
    <w:rsid w:val="00B76223"/>
    <w:rsid w:val="00B76ED0"/>
    <w:rsid w:val="00B77692"/>
    <w:rsid w:val="00B813A9"/>
    <w:rsid w:val="00B95817"/>
    <w:rsid w:val="00B9718C"/>
    <w:rsid w:val="00BA3CE1"/>
    <w:rsid w:val="00BB2BEA"/>
    <w:rsid w:val="00BC04FC"/>
    <w:rsid w:val="00BC0FFF"/>
    <w:rsid w:val="00BC7ECC"/>
    <w:rsid w:val="00BE1FD8"/>
    <w:rsid w:val="00BF2672"/>
    <w:rsid w:val="00BF4DF0"/>
    <w:rsid w:val="00C07622"/>
    <w:rsid w:val="00C1301B"/>
    <w:rsid w:val="00C13B66"/>
    <w:rsid w:val="00C14496"/>
    <w:rsid w:val="00C17754"/>
    <w:rsid w:val="00C17AA8"/>
    <w:rsid w:val="00C20D01"/>
    <w:rsid w:val="00C4145D"/>
    <w:rsid w:val="00C41639"/>
    <w:rsid w:val="00C560BD"/>
    <w:rsid w:val="00C644DE"/>
    <w:rsid w:val="00C66CE8"/>
    <w:rsid w:val="00C726DA"/>
    <w:rsid w:val="00C9045D"/>
    <w:rsid w:val="00C93D94"/>
    <w:rsid w:val="00C93FCE"/>
    <w:rsid w:val="00C94B70"/>
    <w:rsid w:val="00CA205D"/>
    <w:rsid w:val="00CA30B3"/>
    <w:rsid w:val="00CA3544"/>
    <w:rsid w:val="00CA5990"/>
    <w:rsid w:val="00CA779B"/>
    <w:rsid w:val="00CB3E65"/>
    <w:rsid w:val="00CB46C3"/>
    <w:rsid w:val="00CC3519"/>
    <w:rsid w:val="00CC4A6B"/>
    <w:rsid w:val="00CC599D"/>
    <w:rsid w:val="00CC7EF7"/>
    <w:rsid w:val="00CD1545"/>
    <w:rsid w:val="00CD4CC1"/>
    <w:rsid w:val="00CD5659"/>
    <w:rsid w:val="00CE42D3"/>
    <w:rsid w:val="00CE7E0D"/>
    <w:rsid w:val="00D01EAF"/>
    <w:rsid w:val="00D11EB8"/>
    <w:rsid w:val="00D13BA7"/>
    <w:rsid w:val="00D20827"/>
    <w:rsid w:val="00D2149A"/>
    <w:rsid w:val="00D331C2"/>
    <w:rsid w:val="00D33AF8"/>
    <w:rsid w:val="00D400E6"/>
    <w:rsid w:val="00D4210D"/>
    <w:rsid w:val="00D468AB"/>
    <w:rsid w:val="00D47C3C"/>
    <w:rsid w:val="00D53C53"/>
    <w:rsid w:val="00D55D86"/>
    <w:rsid w:val="00D60D8C"/>
    <w:rsid w:val="00D703B6"/>
    <w:rsid w:val="00D8723E"/>
    <w:rsid w:val="00DA00E7"/>
    <w:rsid w:val="00DA3BE1"/>
    <w:rsid w:val="00DA618E"/>
    <w:rsid w:val="00DA7C6C"/>
    <w:rsid w:val="00DB43DD"/>
    <w:rsid w:val="00DB7704"/>
    <w:rsid w:val="00DC3EE5"/>
    <w:rsid w:val="00DC53E7"/>
    <w:rsid w:val="00DC5FA6"/>
    <w:rsid w:val="00DD2EC4"/>
    <w:rsid w:val="00DD3521"/>
    <w:rsid w:val="00DD465D"/>
    <w:rsid w:val="00DF038B"/>
    <w:rsid w:val="00DF25A2"/>
    <w:rsid w:val="00DF3B62"/>
    <w:rsid w:val="00DF59E7"/>
    <w:rsid w:val="00DF640A"/>
    <w:rsid w:val="00E00289"/>
    <w:rsid w:val="00E00CF5"/>
    <w:rsid w:val="00E03F42"/>
    <w:rsid w:val="00E16BE5"/>
    <w:rsid w:val="00E235AC"/>
    <w:rsid w:val="00E23A40"/>
    <w:rsid w:val="00E37920"/>
    <w:rsid w:val="00E407FB"/>
    <w:rsid w:val="00E4314D"/>
    <w:rsid w:val="00E50F55"/>
    <w:rsid w:val="00E512DB"/>
    <w:rsid w:val="00E5554A"/>
    <w:rsid w:val="00E603B5"/>
    <w:rsid w:val="00E657AE"/>
    <w:rsid w:val="00E677FE"/>
    <w:rsid w:val="00E7398D"/>
    <w:rsid w:val="00E77569"/>
    <w:rsid w:val="00E8787D"/>
    <w:rsid w:val="00E93848"/>
    <w:rsid w:val="00E94821"/>
    <w:rsid w:val="00EA1F2D"/>
    <w:rsid w:val="00EB3D34"/>
    <w:rsid w:val="00ED0BEF"/>
    <w:rsid w:val="00ED0D7F"/>
    <w:rsid w:val="00ED24AA"/>
    <w:rsid w:val="00ED786B"/>
    <w:rsid w:val="00EE1053"/>
    <w:rsid w:val="00EE5740"/>
    <w:rsid w:val="00EF0192"/>
    <w:rsid w:val="00EF28AF"/>
    <w:rsid w:val="00EF2ED3"/>
    <w:rsid w:val="00EF4AE4"/>
    <w:rsid w:val="00EF4C07"/>
    <w:rsid w:val="00EF6B14"/>
    <w:rsid w:val="00F00149"/>
    <w:rsid w:val="00F06D00"/>
    <w:rsid w:val="00F111EC"/>
    <w:rsid w:val="00F17BE5"/>
    <w:rsid w:val="00F22379"/>
    <w:rsid w:val="00F30BE2"/>
    <w:rsid w:val="00F34075"/>
    <w:rsid w:val="00F36C56"/>
    <w:rsid w:val="00F56069"/>
    <w:rsid w:val="00F751DF"/>
    <w:rsid w:val="00F82149"/>
    <w:rsid w:val="00F83305"/>
    <w:rsid w:val="00FA034E"/>
    <w:rsid w:val="00FB0EF6"/>
    <w:rsid w:val="00FB17F2"/>
    <w:rsid w:val="00FC4A13"/>
    <w:rsid w:val="00FC5786"/>
    <w:rsid w:val="00FD4925"/>
    <w:rsid w:val="00FD6F2A"/>
    <w:rsid w:val="00FE3F9A"/>
    <w:rsid w:val="00FE6E76"/>
    <w:rsid w:val="00FE7A0B"/>
    <w:rsid w:val="00FF3D55"/>
    <w:rsid w:val="00FF5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4E334"/>
  <w15:chartTrackingRefBased/>
  <w15:docId w15:val="{7545CCAE-0138-4FE7-A257-26415DCBE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E8787D"/>
    <w:pPr>
      <w:widowControl w:val="0"/>
      <w:spacing w:after="0" w:line="240" w:lineRule="auto"/>
      <w:contextualSpacing/>
      <w:jc w:val="both"/>
      <w:outlineLvl w:val="0"/>
    </w:pPr>
    <w:rPr>
      <w:rFonts w:ascii="Times New Roman" w:eastAsiaTheme="majorEastAsia" w:hAnsi="Times New Roman" w:cs="Times New Roman"/>
      <w:sz w:val="24"/>
      <w:szCs w:val="24"/>
      <w:lang w:val="vi-VN"/>
    </w:rPr>
  </w:style>
  <w:style w:type="paragraph" w:styleId="Heading4">
    <w:name w:val="heading 4"/>
    <w:basedOn w:val="Normal"/>
    <w:next w:val="Normal"/>
    <w:link w:val="Heading4Char"/>
    <w:autoRedefine/>
    <w:uiPriority w:val="9"/>
    <w:unhideWhenUsed/>
    <w:qFormat/>
    <w:rsid w:val="00E8787D"/>
    <w:pPr>
      <w:keepNext/>
      <w:keepLines/>
      <w:spacing w:after="0" w:line="240" w:lineRule="auto"/>
      <w:jc w:val="both"/>
      <w:outlineLvl w:val="3"/>
    </w:pPr>
    <w:rPr>
      <w:rFonts w:ascii="Times New Roman" w:eastAsiaTheme="majorEastAsia" w:hAnsi="Times New Roman" w:cs="Times New Roman"/>
      <w:b/>
      <w:iCs/>
      <w:sz w:val="24"/>
      <w:szCs w:val="24"/>
      <w:lang w:val="vi-VN"/>
    </w:rPr>
  </w:style>
  <w:style w:type="paragraph" w:styleId="Heading5">
    <w:name w:val="heading 5"/>
    <w:basedOn w:val="Normal"/>
    <w:next w:val="Normal"/>
    <w:link w:val="Heading5Char"/>
    <w:uiPriority w:val="9"/>
    <w:unhideWhenUsed/>
    <w:qFormat/>
    <w:rsid w:val="00E8787D"/>
    <w:pPr>
      <w:keepNext/>
      <w:keepLines/>
      <w:spacing w:before="40" w:after="0" w:line="324" w:lineRule="auto"/>
      <w:jc w:val="both"/>
      <w:outlineLvl w:val="4"/>
    </w:pPr>
    <w:rPr>
      <w:rFonts w:asciiTheme="majorHAnsi" w:eastAsiaTheme="majorEastAsia" w:hAnsiTheme="majorHAnsi" w:cstheme="majorBidi"/>
      <w:color w:val="2F5496" w:themeColor="accent1" w:themeShade="B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52A"/>
    <w:pPr>
      <w:ind w:left="720"/>
      <w:contextualSpacing/>
    </w:pPr>
  </w:style>
  <w:style w:type="paragraph" w:styleId="FootnoteText">
    <w:name w:val="footnote text"/>
    <w:basedOn w:val="Normal"/>
    <w:link w:val="FootnoteTextChar"/>
    <w:unhideWhenUsed/>
    <w:rsid w:val="00B709F0"/>
    <w:pPr>
      <w:spacing w:after="0" w:line="240" w:lineRule="auto"/>
    </w:pPr>
    <w:rPr>
      <w:sz w:val="20"/>
      <w:szCs w:val="20"/>
    </w:rPr>
  </w:style>
  <w:style w:type="character" w:customStyle="1" w:styleId="FootnoteTextChar">
    <w:name w:val="Footnote Text Char"/>
    <w:basedOn w:val="DefaultParagraphFont"/>
    <w:link w:val="FootnoteText"/>
    <w:rsid w:val="00B709F0"/>
    <w:rPr>
      <w:sz w:val="20"/>
      <w:szCs w:val="20"/>
    </w:rPr>
  </w:style>
  <w:style w:type="character" w:styleId="FootnoteReference">
    <w:name w:val="footnote reference"/>
    <w:basedOn w:val="DefaultParagraphFont"/>
    <w:unhideWhenUsed/>
    <w:rsid w:val="00B709F0"/>
    <w:rPr>
      <w:vertAlign w:val="superscript"/>
    </w:rPr>
  </w:style>
  <w:style w:type="character" w:customStyle="1" w:styleId="Heading4Char">
    <w:name w:val="Heading 4 Char"/>
    <w:basedOn w:val="DefaultParagraphFont"/>
    <w:link w:val="Heading4"/>
    <w:uiPriority w:val="9"/>
    <w:rsid w:val="00E8787D"/>
    <w:rPr>
      <w:rFonts w:ascii="Times New Roman" w:eastAsiaTheme="majorEastAsia" w:hAnsi="Times New Roman" w:cs="Times New Roman"/>
      <w:b/>
      <w:iCs/>
      <w:sz w:val="24"/>
      <w:szCs w:val="24"/>
      <w:lang w:val="vi-VN"/>
    </w:rPr>
  </w:style>
  <w:style w:type="character" w:customStyle="1" w:styleId="Vnbnnidung">
    <w:name w:val="Văn bản nội dung_"/>
    <w:basedOn w:val="DefaultParagraphFont"/>
    <w:link w:val="Vnbnnidung0"/>
    <w:locked/>
    <w:rsid w:val="00E8787D"/>
    <w:rPr>
      <w:rFonts w:eastAsia="Times New Roman" w:cs="Times New Roman"/>
    </w:rPr>
  </w:style>
  <w:style w:type="paragraph" w:customStyle="1" w:styleId="Vnbnnidung0">
    <w:name w:val="Văn bản nội dung"/>
    <w:basedOn w:val="Normal"/>
    <w:link w:val="Vnbnnidung"/>
    <w:rsid w:val="00E8787D"/>
    <w:pPr>
      <w:widowControl w:val="0"/>
      <w:spacing w:after="200" w:line="264" w:lineRule="auto"/>
      <w:ind w:firstLine="400"/>
    </w:pPr>
    <w:rPr>
      <w:rFonts w:eastAsia="Times New Roman" w:cs="Times New Roman"/>
    </w:rPr>
  </w:style>
  <w:style w:type="character" w:customStyle="1" w:styleId="Heading1Char">
    <w:name w:val="Heading 1 Char"/>
    <w:basedOn w:val="DefaultParagraphFont"/>
    <w:link w:val="Heading1"/>
    <w:uiPriority w:val="9"/>
    <w:rsid w:val="00E8787D"/>
    <w:rPr>
      <w:rFonts w:ascii="Times New Roman" w:eastAsiaTheme="majorEastAsia" w:hAnsi="Times New Roman" w:cs="Times New Roman"/>
      <w:sz w:val="24"/>
      <w:szCs w:val="24"/>
      <w:lang w:val="vi-VN"/>
    </w:rPr>
  </w:style>
  <w:style w:type="character" w:customStyle="1" w:styleId="Heading5Char">
    <w:name w:val="Heading 5 Char"/>
    <w:basedOn w:val="DefaultParagraphFont"/>
    <w:link w:val="Heading5"/>
    <w:uiPriority w:val="9"/>
    <w:rsid w:val="00E8787D"/>
    <w:rPr>
      <w:rFonts w:asciiTheme="majorHAnsi" w:eastAsiaTheme="majorEastAsia" w:hAnsiTheme="majorHAnsi" w:cstheme="majorBidi"/>
      <w:color w:val="2F5496" w:themeColor="accent1" w:themeShade="BF"/>
      <w:sz w:val="26"/>
    </w:rPr>
  </w:style>
  <w:style w:type="paragraph" w:styleId="Header">
    <w:name w:val="header"/>
    <w:basedOn w:val="Normal"/>
    <w:link w:val="HeaderChar"/>
    <w:uiPriority w:val="99"/>
    <w:unhideWhenUsed/>
    <w:rsid w:val="00E878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787D"/>
  </w:style>
  <w:style w:type="paragraph" w:styleId="Footer">
    <w:name w:val="footer"/>
    <w:basedOn w:val="Normal"/>
    <w:link w:val="FooterChar"/>
    <w:uiPriority w:val="99"/>
    <w:unhideWhenUsed/>
    <w:rsid w:val="00E878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787D"/>
  </w:style>
  <w:style w:type="paragraph" w:styleId="BalloonText">
    <w:name w:val="Balloon Text"/>
    <w:basedOn w:val="Normal"/>
    <w:link w:val="BalloonTextChar"/>
    <w:uiPriority w:val="99"/>
    <w:semiHidden/>
    <w:unhideWhenUsed/>
    <w:rsid w:val="008233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392"/>
    <w:rPr>
      <w:rFonts w:ascii="Segoe UI" w:hAnsi="Segoe UI" w:cs="Segoe UI"/>
      <w:sz w:val="18"/>
      <w:szCs w:val="18"/>
    </w:rPr>
  </w:style>
  <w:style w:type="paragraph" w:customStyle="1" w:styleId="Char">
    <w:name w:val="Char"/>
    <w:basedOn w:val="Normal"/>
    <w:autoRedefine/>
    <w:rsid w:val="009D5CCD"/>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BAAE7-A598-4222-AA74-266BE9D9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16</Pages>
  <Words>4508</Words>
  <Characters>25702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QLXD</cp:lastModifiedBy>
  <cp:revision>76</cp:revision>
  <cp:lastPrinted>2025-08-11T03:12:00Z</cp:lastPrinted>
  <dcterms:created xsi:type="dcterms:W3CDTF">2025-08-16T03:41:00Z</dcterms:created>
  <dcterms:modified xsi:type="dcterms:W3CDTF">2025-08-17T07:35:00Z</dcterms:modified>
</cp:coreProperties>
</file>